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BD2A" w14:textId="77777777" w:rsidR="00D41BB6" w:rsidRDefault="00D41BB6">
      <w:pPr>
        <w:rPr>
          <w:rFonts w:ascii="黑体" w:eastAsia="黑体" w:hAnsi="黑体" w:hint="eastAsia"/>
          <w:sz w:val="32"/>
          <w:szCs w:val="32"/>
        </w:rPr>
      </w:pPr>
    </w:p>
    <w:p w14:paraId="07DCCB7A" w14:textId="77777777" w:rsidR="00D41BB6" w:rsidRDefault="00D41BB6">
      <w:pPr>
        <w:rPr>
          <w:rFonts w:ascii="黑体" w:eastAsia="黑体" w:hAnsi="黑体" w:hint="eastAsia"/>
          <w:sz w:val="32"/>
          <w:szCs w:val="32"/>
        </w:rPr>
      </w:pPr>
    </w:p>
    <w:p w14:paraId="3C76CB48" w14:textId="77777777" w:rsidR="00D41BB6" w:rsidRDefault="00D41BB6">
      <w:pPr>
        <w:rPr>
          <w:rFonts w:ascii="黑体" w:eastAsia="黑体" w:hAnsi="黑体" w:hint="eastAsia"/>
          <w:sz w:val="32"/>
          <w:szCs w:val="32"/>
        </w:rPr>
      </w:pPr>
    </w:p>
    <w:p w14:paraId="34615955" w14:textId="77777777" w:rsidR="00D41BB6" w:rsidRDefault="00D41BB6">
      <w:pPr>
        <w:rPr>
          <w:rFonts w:ascii="黑体" w:eastAsia="黑体" w:hAnsi="黑体" w:hint="eastAsia"/>
          <w:sz w:val="32"/>
          <w:szCs w:val="32"/>
        </w:rPr>
      </w:pPr>
    </w:p>
    <w:p w14:paraId="15ACD2FF" w14:textId="77777777" w:rsidR="00D41BB6" w:rsidRDefault="00D41BB6">
      <w:pPr>
        <w:jc w:val="center"/>
        <w:rPr>
          <w:rFonts w:ascii="黑体" w:eastAsia="黑体" w:hAnsi="黑体" w:hint="eastAsia"/>
          <w:sz w:val="32"/>
          <w:szCs w:val="32"/>
        </w:rPr>
      </w:pPr>
    </w:p>
    <w:p w14:paraId="22272E32" w14:textId="5DF2A8CE" w:rsidR="00D41BB6" w:rsidRDefault="00000000">
      <w:pPr>
        <w:jc w:val="center"/>
        <w:rPr>
          <w:rFonts w:ascii="黑体" w:eastAsia="黑体" w:hAnsi="黑体" w:hint="eastAsia"/>
          <w:sz w:val="32"/>
          <w:szCs w:val="32"/>
        </w:rPr>
      </w:pPr>
      <w:r>
        <w:rPr>
          <w:rFonts w:ascii="黑体" w:eastAsia="黑体" w:hAnsi="黑体" w:hint="eastAsia"/>
          <w:sz w:val="32"/>
          <w:szCs w:val="32"/>
        </w:rPr>
        <w:t>《</w:t>
      </w:r>
      <w:r w:rsidR="001E4073" w:rsidRPr="001E4073">
        <w:rPr>
          <w:rFonts w:ascii="黑体" w:eastAsia="黑体" w:hAnsi="黑体" w:hint="eastAsia"/>
          <w:sz w:val="32"/>
          <w:szCs w:val="32"/>
        </w:rPr>
        <w:t>温室气体排放连续直接测量系统技术规范 工业尾气氧化亚氮（N</w:t>
      </w:r>
      <w:r w:rsidR="001E4073" w:rsidRPr="00246B96">
        <w:rPr>
          <w:rFonts w:ascii="黑体" w:eastAsia="黑体" w:hAnsi="黑体" w:hint="eastAsia"/>
          <w:sz w:val="32"/>
          <w:szCs w:val="32"/>
          <w:vertAlign w:val="subscript"/>
        </w:rPr>
        <w:t>2</w:t>
      </w:r>
      <w:r w:rsidR="0070597D">
        <w:rPr>
          <w:rFonts w:ascii="黑体" w:eastAsia="黑体" w:hAnsi="黑体" w:hint="eastAsia"/>
          <w:sz w:val="32"/>
          <w:szCs w:val="32"/>
        </w:rPr>
        <w:t>O</w:t>
      </w:r>
      <w:r w:rsidR="001E4073" w:rsidRPr="001E4073">
        <w:rPr>
          <w:rFonts w:ascii="黑体" w:eastAsia="黑体" w:hAnsi="黑体" w:hint="eastAsia"/>
          <w:sz w:val="32"/>
          <w:szCs w:val="32"/>
        </w:rPr>
        <w:t>）</w:t>
      </w:r>
      <w:r>
        <w:rPr>
          <w:rFonts w:ascii="黑体" w:eastAsia="黑体" w:hAnsi="黑体" w:hint="eastAsia"/>
          <w:sz w:val="32"/>
          <w:szCs w:val="32"/>
        </w:rPr>
        <w:t>》</w:t>
      </w:r>
    </w:p>
    <w:p w14:paraId="5423F86C" w14:textId="77777777" w:rsidR="00D41BB6" w:rsidRDefault="00000000">
      <w:pPr>
        <w:jc w:val="center"/>
        <w:rPr>
          <w:rFonts w:ascii="黑体" w:eastAsia="黑体" w:hAnsi="黑体" w:hint="eastAsia"/>
          <w:sz w:val="32"/>
          <w:szCs w:val="32"/>
        </w:rPr>
      </w:pPr>
      <w:r>
        <w:rPr>
          <w:rFonts w:ascii="黑体" w:eastAsia="黑体" w:hAnsi="黑体" w:hint="eastAsia"/>
          <w:sz w:val="32"/>
          <w:szCs w:val="32"/>
        </w:rPr>
        <w:t>（征求意见稿）</w:t>
      </w:r>
    </w:p>
    <w:p w14:paraId="02FE3349" w14:textId="77777777" w:rsidR="00D41BB6" w:rsidRDefault="00D41BB6">
      <w:pPr>
        <w:jc w:val="center"/>
        <w:rPr>
          <w:rFonts w:ascii="黑体" w:eastAsia="黑体" w:hAnsi="黑体" w:hint="eastAsia"/>
          <w:sz w:val="32"/>
          <w:szCs w:val="32"/>
        </w:rPr>
      </w:pPr>
    </w:p>
    <w:p w14:paraId="6D022825" w14:textId="77777777" w:rsidR="00D41BB6" w:rsidRDefault="00000000">
      <w:pPr>
        <w:jc w:val="center"/>
        <w:rPr>
          <w:rFonts w:ascii="黑体" w:eastAsia="黑体" w:hAnsi="黑体" w:hint="eastAsia"/>
          <w:sz w:val="32"/>
          <w:szCs w:val="32"/>
        </w:rPr>
      </w:pPr>
      <w:r>
        <w:rPr>
          <w:rFonts w:ascii="黑体" w:eastAsia="黑体" w:hAnsi="黑体" w:hint="eastAsia"/>
          <w:sz w:val="32"/>
          <w:szCs w:val="32"/>
        </w:rPr>
        <w:t>团体标准</w:t>
      </w:r>
    </w:p>
    <w:p w14:paraId="06CB0F3B" w14:textId="77777777" w:rsidR="00D41BB6" w:rsidRDefault="00D41BB6">
      <w:pPr>
        <w:jc w:val="center"/>
        <w:rPr>
          <w:rFonts w:ascii="黑体" w:eastAsia="黑体" w:hAnsi="黑体" w:hint="eastAsia"/>
          <w:sz w:val="32"/>
          <w:szCs w:val="32"/>
        </w:rPr>
      </w:pPr>
    </w:p>
    <w:p w14:paraId="3713F152" w14:textId="77777777" w:rsidR="00D41BB6" w:rsidRDefault="00000000">
      <w:pPr>
        <w:jc w:val="center"/>
        <w:rPr>
          <w:rFonts w:ascii="黑体" w:eastAsia="黑体" w:hAnsi="黑体" w:hint="eastAsia"/>
          <w:sz w:val="32"/>
          <w:szCs w:val="32"/>
        </w:rPr>
      </w:pPr>
      <w:r>
        <w:rPr>
          <w:rFonts w:ascii="黑体" w:eastAsia="黑体" w:hAnsi="黑体" w:hint="eastAsia"/>
          <w:sz w:val="32"/>
          <w:szCs w:val="32"/>
        </w:rPr>
        <w:t>编制说明</w:t>
      </w:r>
    </w:p>
    <w:p w14:paraId="131DBB0C" w14:textId="77777777" w:rsidR="00D41BB6" w:rsidRDefault="00D41BB6">
      <w:pPr>
        <w:jc w:val="center"/>
        <w:rPr>
          <w:rFonts w:ascii="黑体" w:eastAsia="黑体" w:hAnsi="黑体" w:hint="eastAsia"/>
          <w:sz w:val="32"/>
          <w:szCs w:val="32"/>
        </w:rPr>
      </w:pPr>
    </w:p>
    <w:p w14:paraId="769D702E" w14:textId="77777777" w:rsidR="00D41BB6" w:rsidRDefault="00D41BB6">
      <w:pPr>
        <w:jc w:val="center"/>
        <w:rPr>
          <w:rFonts w:ascii="黑体" w:eastAsia="黑体" w:hAnsi="黑体" w:hint="eastAsia"/>
          <w:sz w:val="32"/>
          <w:szCs w:val="32"/>
        </w:rPr>
      </w:pPr>
    </w:p>
    <w:p w14:paraId="10E59717" w14:textId="77777777" w:rsidR="00D41BB6" w:rsidRDefault="00D41BB6">
      <w:pPr>
        <w:jc w:val="center"/>
        <w:rPr>
          <w:rFonts w:ascii="黑体" w:eastAsia="黑体" w:hAnsi="黑体" w:hint="eastAsia"/>
          <w:sz w:val="32"/>
          <w:szCs w:val="32"/>
        </w:rPr>
      </w:pPr>
    </w:p>
    <w:p w14:paraId="52E202EE" w14:textId="77777777" w:rsidR="00D41BB6" w:rsidRDefault="00D41BB6">
      <w:pPr>
        <w:jc w:val="center"/>
        <w:rPr>
          <w:rFonts w:ascii="黑体" w:eastAsia="黑体" w:hAnsi="黑体" w:hint="eastAsia"/>
          <w:sz w:val="32"/>
          <w:szCs w:val="32"/>
        </w:rPr>
      </w:pPr>
    </w:p>
    <w:p w14:paraId="4397396E" w14:textId="77777777" w:rsidR="00D41BB6" w:rsidRDefault="00D41BB6">
      <w:pPr>
        <w:jc w:val="center"/>
        <w:rPr>
          <w:rFonts w:ascii="黑体" w:eastAsia="黑体" w:hAnsi="黑体" w:hint="eastAsia"/>
          <w:sz w:val="32"/>
          <w:szCs w:val="32"/>
        </w:rPr>
      </w:pPr>
    </w:p>
    <w:p w14:paraId="0D256D71" w14:textId="77777777" w:rsidR="00D41BB6" w:rsidRDefault="00D41BB6" w:rsidP="00915160">
      <w:pPr>
        <w:rPr>
          <w:rFonts w:ascii="黑体" w:eastAsia="黑体" w:hAnsi="黑体" w:hint="eastAsia"/>
          <w:sz w:val="32"/>
          <w:szCs w:val="32"/>
        </w:rPr>
      </w:pPr>
    </w:p>
    <w:p w14:paraId="6FE43DEC" w14:textId="6AF3BCA8" w:rsidR="00D41BB6" w:rsidRDefault="00000000">
      <w:pPr>
        <w:jc w:val="center"/>
        <w:rPr>
          <w:rFonts w:ascii="黑体" w:eastAsia="黑体" w:hAnsi="黑体" w:hint="eastAsia"/>
          <w:sz w:val="32"/>
          <w:szCs w:val="32"/>
        </w:rPr>
      </w:pPr>
      <w:r>
        <w:rPr>
          <w:rFonts w:ascii="黑体" w:eastAsia="黑体" w:hAnsi="黑体" w:hint="eastAsia"/>
          <w:sz w:val="32"/>
          <w:szCs w:val="32"/>
        </w:rPr>
        <w:t>《</w:t>
      </w:r>
      <w:r w:rsidR="00436559" w:rsidRPr="00436559">
        <w:rPr>
          <w:rFonts w:ascii="黑体" w:eastAsia="黑体" w:hAnsi="黑体" w:hint="eastAsia"/>
          <w:sz w:val="32"/>
          <w:szCs w:val="32"/>
        </w:rPr>
        <w:t>温室气体排放</w:t>
      </w:r>
      <w:bookmarkStart w:id="0" w:name="_Hlk235107667"/>
      <w:r w:rsidR="00436559" w:rsidRPr="00436559">
        <w:rPr>
          <w:rFonts w:ascii="黑体" w:eastAsia="黑体" w:hAnsi="黑体" w:hint="eastAsia"/>
          <w:sz w:val="32"/>
          <w:szCs w:val="32"/>
        </w:rPr>
        <w:t>连续直接测量系统技术</w:t>
      </w:r>
      <w:bookmarkEnd w:id="0"/>
      <w:r w:rsidR="00436559" w:rsidRPr="00436559">
        <w:rPr>
          <w:rFonts w:ascii="黑体" w:eastAsia="黑体" w:hAnsi="黑体" w:hint="eastAsia"/>
          <w:sz w:val="32"/>
          <w:szCs w:val="32"/>
        </w:rPr>
        <w:t>规范 工业尾气氧化亚氮（N</w:t>
      </w:r>
      <w:r w:rsidR="00436559" w:rsidRPr="00246B96">
        <w:rPr>
          <w:rFonts w:ascii="黑体" w:eastAsia="黑体" w:hAnsi="黑体" w:hint="eastAsia"/>
          <w:sz w:val="32"/>
          <w:szCs w:val="32"/>
          <w:vertAlign w:val="subscript"/>
        </w:rPr>
        <w:t>2</w:t>
      </w:r>
      <w:r w:rsidR="00436559" w:rsidRPr="00436559">
        <w:rPr>
          <w:rFonts w:ascii="黑体" w:eastAsia="黑体" w:hAnsi="黑体" w:hint="eastAsia"/>
          <w:sz w:val="32"/>
          <w:szCs w:val="32"/>
        </w:rPr>
        <w:t>O）</w:t>
      </w:r>
      <w:r>
        <w:rPr>
          <w:rFonts w:ascii="黑体" w:eastAsia="黑体" w:hAnsi="黑体" w:hint="eastAsia"/>
          <w:sz w:val="32"/>
          <w:szCs w:val="32"/>
        </w:rPr>
        <w:t>》编制组</w:t>
      </w:r>
    </w:p>
    <w:p w14:paraId="22287794" w14:textId="3455A2B7" w:rsidR="00D41BB6" w:rsidRDefault="00000000">
      <w:pPr>
        <w:jc w:val="center"/>
        <w:rPr>
          <w:rFonts w:ascii="黑体" w:eastAsia="黑体" w:hAnsi="黑体" w:hint="eastAsia"/>
          <w:sz w:val="32"/>
          <w:szCs w:val="32"/>
        </w:rPr>
      </w:pPr>
      <w:r>
        <w:rPr>
          <w:rFonts w:ascii="黑体" w:eastAsia="黑体" w:hAnsi="黑体" w:hint="eastAsia"/>
          <w:sz w:val="32"/>
          <w:szCs w:val="32"/>
        </w:rPr>
        <w:t>2</w:t>
      </w:r>
      <w:r>
        <w:rPr>
          <w:rFonts w:ascii="黑体" w:eastAsia="黑体" w:hAnsi="黑体"/>
          <w:sz w:val="32"/>
          <w:szCs w:val="32"/>
        </w:rPr>
        <w:t>02</w:t>
      </w:r>
      <w:r>
        <w:rPr>
          <w:rFonts w:ascii="黑体" w:eastAsia="黑体" w:hAnsi="黑体" w:hint="eastAsia"/>
          <w:sz w:val="32"/>
          <w:szCs w:val="32"/>
        </w:rPr>
        <w:t>6年</w:t>
      </w:r>
      <w:r w:rsidR="00246B96">
        <w:rPr>
          <w:rFonts w:ascii="黑体" w:eastAsia="黑体" w:hAnsi="黑体" w:hint="eastAsia"/>
          <w:sz w:val="32"/>
          <w:szCs w:val="32"/>
        </w:rPr>
        <w:t>8</w:t>
      </w:r>
      <w:r>
        <w:rPr>
          <w:rFonts w:ascii="黑体" w:eastAsia="黑体" w:hAnsi="黑体" w:hint="eastAsia"/>
          <w:sz w:val="32"/>
          <w:szCs w:val="32"/>
        </w:rPr>
        <w:t>月</w:t>
      </w:r>
    </w:p>
    <w:p w14:paraId="05803186" w14:textId="77777777" w:rsidR="00D41BB6" w:rsidRDefault="00000000">
      <w:pPr>
        <w:jc w:val="center"/>
        <w:rPr>
          <w:rFonts w:ascii="黑体" w:eastAsia="黑体" w:hAnsi="黑体" w:hint="eastAsia"/>
          <w:sz w:val="32"/>
          <w:szCs w:val="32"/>
        </w:rPr>
      </w:pPr>
      <w:r>
        <w:rPr>
          <w:rFonts w:ascii="黑体" w:eastAsia="黑体" w:hAnsi="黑体"/>
          <w:sz w:val="32"/>
          <w:szCs w:val="32"/>
        </w:rPr>
        <w:br w:type="page"/>
      </w:r>
    </w:p>
    <w:p w14:paraId="21F8A378" w14:textId="77777777" w:rsidR="00D41BB6" w:rsidRDefault="00000000">
      <w:pPr>
        <w:pStyle w:val="1"/>
        <w:spacing w:before="156" w:after="156"/>
      </w:pPr>
      <w:r>
        <w:rPr>
          <w:rFonts w:hint="eastAsia"/>
        </w:rPr>
        <w:lastRenderedPageBreak/>
        <w:t>项目背景</w:t>
      </w:r>
    </w:p>
    <w:p w14:paraId="5AA3F880" w14:textId="77777777" w:rsidR="00D41BB6" w:rsidRDefault="00000000">
      <w:pPr>
        <w:pStyle w:val="2"/>
        <w:spacing w:before="156" w:after="156"/>
      </w:pPr>
      <w:r>
        <w:rPr>
          <w:rFonts w:hint="eastAsia"/>
        </w:rPr>
        <w:t>任务来源</w:t>
      </w:r>
    </w:p>
    <w:p w14:paraId="5F813265" w14:textId="0B6EB934" w:rsidR="00D41BB6" w:rsidRDefault="00000000">
      <w:pPr>
        <w:spacing w:line="360" w:lineRule="auto"/>
        <w:ind w:firstLineChars="200" w:firstLine="480"/>
        <w:rPr>
          <w:rFonts w:ascii="Times New Roman" w:eastAsia="宋体" w:hAnsi="Times New Roman"/>
          <w:sz w:val="24"/>
        </w:rPr>
      </w:pPr>
      <w:r>
        <w:rPr>
          <w:rFonts w:ascii="Times New Roman" w:eastAsia="宋体" w:hAnsi="Times New Roman"/>
          <w:sz w:val="24"/>
        </w:rPr>
        <w:t>2020</w:t>
      </w:r>
      <w:r>
        <w:rPr>
          <w:rFonts w:ascii="Times New Roman" w:eastAsia="宋体" w:hAnsi="Times New Roman"/>
          <w:sz w:val="24"/>
        </w:rPr>
        <w:t>年</w:t>
      </w:r>
      <w:r>
        <w:rPr>
          <w:rFonts w:ascii="Times New Roman" w:eastAsia="宋体" w:hAnsi="Times New Roman"/>
          <w:sz w:val="24"/>
        </w:rPr>
        <w:t>9</w:t>
      </w:r>
      <w:r>
        <w:rPr>
          <w:rFonts w:ascii="Times New Roman" w:eastAsia="宋体" w:hAnsi="Times New Roman"/>
          <w:sz w:val="24"/>
        </w:rPr>
        <w:t>月</w:t>
      </w:r>
      <w:r>
        <w:rPr>
          <w:rFonts w:ascii="Times New Roman" w:eastAsia="宋体" w:hAnsi="Times New Roman"/>
          <w:sz w:val="24"/>
        </w:rPr>
        <w:t>22</w:t>
      </w:r>
      <w:r>
        <w:rPr>
          <w:rFonts w:ascii="Times New Roman" w:eastAsia="宋体" w:hAnsi="Times New Roman"/>
          <w:sz w:val="24"/>
        </w:rPr>
        <w:t>日，习近平总书记在第</w:t>
      </w:r>
      <w:r>
        <w:rPr>
          <w:rFonts w:ascii="Times New Roman" w:eastAsia="宋体" w:hAnsi="Times New Roman"/>
          <w:sz w:val="24"/>
        </w:rPr>
        <w:t>75</w:t>
      </w:r>
      <w:r>
        <w:rPr>
          <w:rFonts w:ascii="Times New Roman" w:eastAsia="宋体" w:hAnsi="Times New Roman"/>
          <w:sz w:val="24"/>
        </w:rPr>
        <w:t>届联合国大会一般性辩论上郑重宣示，中国二氧化碳排放力争于</w:t>
      </w:r>
      <w:r>
        <w:rPr>
          <w:rFonts w:ascii="Times New Roman" w:eastAsia="宋体" w:hAnsi="Times New Roman"/>
          <w:sz w:val="24"/>
        </w:rPr>
        <w:t>2030</w:t>
      </w:r>
      <w:r>
        <w:rPr>
          <w:rFonts w:ascii="Times New Roman" w:eastAsia="宋体" w:hAnsi="Times New Roman"/>
          <w:sz w:val="24"/>
        </w:rPr>
        <w:t>年前达到峰值、努力争取</w:t>
      </w:r>
      <w:r>
        <w:rPr>
          <w:rFonts w:ascii="Times New Roman" w:eastAsia="宋体" w:hAnsi="Times New Roman"/>
          <w:sz w:val="24"/>
        </w:rPr>
        <w:t>2060</w:t>
      </w:r>
      <w:r>
        <w:rPr>
          <w:rFonts w:ascii="Times New Roman" w:eastAsia="宋体" w:hAnsi="Times New Roman"/>
          <w:sz w:val="24"/>
        </w:rPr>
        <w:t>年前实现碳中和，是我国立足可持续发展作出的重大战略部署，也为全国温室气体管控工作指明核心方向。氧化亚氮（</w:t>
      </w:r>
      <w:r>
        <w:rPr>
          <w:rFonts w:ascii="Times New Roman" w:eastAsia="宋体" w:hAnsi="Times New Roman"/>
          <w:sz w:val="24"/>
        </w:rPr>
        <w:t>N₂O</w:t>
      </w:r>
      <w:r>
        <w:rPr>
          <w:rFonts w:ascii="Times New Roman" w:eastAsia="宋体" w:hAnsi="Times New Roman"/>
          <w:sz w:val="24"/>
        </w:rPr>
        <w:t>）属于强效温室气体，</w:t>
      </w:r>
      <w:r>
        <w:rPr>
          <w:rFonts w:ascii="Times New Roman" w:eastAsia="宋体" w:hAnsi="Times New Roman"/>
          <w:sz w:val="24"/>
        </w:rPr>
        <w:t>100</w:t>
      </w:r>
      <w:r>
        <w:rPr>
          <w:rFonts w:ascii="Times New Roman" w:eastAsia="宋体" w:hAnsi="Times New Roman"/>
          <w:sz w:val="24"/>
        </w:rPr>
        <w:t>年时间尺度下全球增温潜势为二氧化碳的</w:t>
      </w:r>
      <w:r>
        <w:rPr>
          <w:rFonts w:ascii="Times New Roman" w:eastAsia="宋体" w:hAnsi="Times New Roman"/>
          <w:sz w:val="24"/>
        </w:rPr>
        <w:t>265</w:t>
      </w:r>
      <w:r>
        <w:rPr>
          <w:rFonts w:ascii="Times New Roman" w:eastAsia="宋体" w:hAnsi="Times New Roman"/>
          <w:sz w:val="24"/>
        </w:rPr>
        <w:t>倍，同时会造成臭氧层破坏，加强氧化亚氮排放管控是落实</w:t>
      </w:r>
      <w:r w:rsidR="00246B96">
        <w:rPr>
          <w:rFonts w:ascii="Times New Roman" w:eastAsia="宋体" w:hAnsi="Times New Roman" w:hint="eastAsia"/>
          <w:sz w:val="24"/>
        </w:rPr>
        <w:t>“</w:t>
      </w:r>
      <w:r>
        <w:rPr>
          <w:rFonts w:ascii="Times New Roman" w:eastAsia="宋体" w:hAnsi="Times New Roman"/>
          <w:sz w:val="24"/>
        </w:rPr>
        <w:t>双碳</w:t>
      </w:r>
      <w:r w:rsidR="00246B96">
        <w:rPr>
          <w:rFonts w:ascii="Times New Roman" w:eastAsia="宋体" w:hAnsi="Times New Roman" w:hint="eastAsia"/>
          <w:sz w:val="24"/>
        </w:rPr>
        <w:t>”</w:t>
      </w:r>
      <w:r>
        <w:rPr>
          <w:rFonts w:ascii="Times New Roman" w:eastAsia="宋体" w:hAnsi="Times New Roman"/>
          <w:sz w:val="24"/>
        </w:rPr>
        <w:t>战略的重要一环。</w:t>
      </w:r>
      <w:r>
        <w:rPr>
          <w:rFonts w:ascii="Times New Roman" w:eastAsia="宋体" w:hAnsi="Times New Roman"/>
          <w:sz w:val="24"/>
        </w:rPr>
        <w:t>2024</w:t>
      </w:r>
      <w:r>
        <w:rPr>
          <w:rFonts w:ascii="Times New Roman" w:eastAsia="宋体" w:hAnsi="Times New Roman"/>
          <w:sz w:val="24"/>
        </w:rPr>
        <w:t>年</w:t>
      </w:r>
      <w:r>
        <w:rPr>
          <w:rFonts w:ascii="Times New Roman" w:eastAsia="宋体" w:hAnsi="Times New Roman"/>
          <w:sz w:val="24"/>
        </w:rPr>
        <w:t>12</w:t>
      </w:r>
      <w:r>
        <w:rPr>
          <w:rFonts w:ascii="Times New Roman" w:eastAsia="宋体" w:hAnsi="Times New Roman"/>
          <w:sz w:val="24"/>
        </w:rPr>
        <w:t>月发布的《中华人民共和国气候变化第四次两年更新报告》</w:t>
      </w:r>
      <w:r>
        <w:rPr>
          <w:rFonts w:ascii="Times New Roman" w:eastAsia="宋体" w:hAnsi="Times New Roman" w:hint="eastAsia"/>
          <w:sz w:val="24"/>
        </w:rPr>
        <w:t>指出</w:t>
      </w:r>
      <w:r>
        <w:rPr>
          <w:rFonts w:ascii="Times New Roman" w:eastAsia="宋体" w:hAnsi="Times New Roman"/>
          <w:sz w:val="24"/>
        </w:rPr>
        <w:t>，工业生产过程是氧化亚氮主要排放来源之一，硝酸、己二酸、己内酰胺等化工行业生产过程副产大量氧化亚氮，排放强度高、整体减排潜力巨大。</w:t>
      </w:r>
    </w:p>
    <w:p w14:paraId="29B11AB4" w14:textId="7A7C074B" w:rsidR="003F1343" w:rsidRDefault="003F1343" w:rsidP="003F1343">
      <w:pPr>
        <w:spacing w:line="360" w:lineRule="auto"/>
        <w:ind w:firstLineChars="200" w:firstLine="480"/>
        <w:rPr>
          <w:rFonts w:ascii="Times New Roman" w:eastAsia="宋体" w:hAnsi="Times New Roman"/>
          <w:sz w:val="24"/>
        </w:rPr>
      </w:pPr>
      <w:r w:rsidRPr="003F1343">
        <w:rPr>
          <w:rFonts w:ascii="Times New Roman" w:eastAsia="宋体" w:hAnsi="Times New Roman" w:hint="eastAsia"/>
          <w:sz w:val="24"/>
        </w:rPr>
        <w:t>国家层面持续出台政策文件加强非二氧化碳温室气体管控，《关于完整准确全面贯彻新发展理念做好碳达峰碳中和工作的意见》《关于全面推进美丽中国建设的意见》《建立健全碳达峰碳中和标准计量体系实施方案》《碳达峰碳中和标准体系建设指南》以及《工业领域氧化亚氮排放控制行动方案》等，均对加强</w:t>
      </w:r>
      <w:r w:rsidRPr="003F1343">
        <w:rPr>
          <w:rFonts w:ascii="Times New Roman" w:eastAsia="宋体" w:hAnsi="Times New Roman"/>
          <w:sz w:val="24"/>
        </w:rPr>
        <w:t>N₂O</w:t>
      </w:r>
      <w:r w:rsidRPr="003F1343">
        <w:rPr>
          <w:rFonts w:ascii="Times New Roman" w:eastAsia="宋体" w:hAnsi="Times New Roman"/>
          <w:sz w:val="24"/>
        </w:rPr>
        <w:t>排放监测、报告、核查和标准建设提出明确要求。当前我国工业</w:t>
      </w:r>
      <w:r w:rsidRPr="003F1343">
        <w:rPr>
          <w:rFonts w:ascii="Times New Roman" w:eastAsia="宋体" w:hAnsi="Times New Roman"/>
          <w:sz w:val="24"/>
        </w:rPr>
        <w:t>N₂O</w:t>
      </w:r>
      <w:r w:rsidRPr="003F1343">
        <w:rPr>
          <w:rFonts w:ascii="Times New Roman" w:eastAsia="宋体" w:hAnsi="Times New Roman"/>
          <w:sz w:val="24"/>
        </w:rPr>
        <w:t>排放量主要依据相关核算指南，采用缺省排放因子、企业特定排放系数或短期性能测试等方法核算，难以连续反映装置启停、负荷变化及治理设施异常</w:t>
      </w:r>
      <w:r w:rsidRPr="003F1343">
        <w:rPr>
          <w:rFonts w:ascii="Times New Roman" w:eastAsia="宋体" w:hAnsi="Times New Roman" w:hint="eastAsia"/>
          <w:sz w:val="24"/>
        </w:rPr>
        <w:t>等工况下的实际排放。</w:t>
      </w:r>
      <w:r w:rsidR="002A594E" w:rsidRPr="002A594E">
        <w:rPr>
          <w:rFonts w:ascii="Times New Roman" w:eastAsia="宋体" w:hAnsi="Times New Roman" w:hint="eastAsia"/>
          <w:sz w:val="24"/>
        </w:rPr>
        <w:t>国内尚缺少针对工业尾气</w:t>
      </w:r>
      <w:r w:rsidR="002A594E" w:rsidRPr="002A594E">
        <w:rPr>
          <w:rFonts w:ascii="Times New Roman" w:eastAsia="宋体" w:hAnsi="Times New Roman"/>
          <w:sz w:val="24"/>
        </w:rPr>
        <w:t>N₂O</w:t>
      </w:r>
      <w:r w:rsidR="002A594E" w:rsidRPr="002A594E">
        <w:rPr>
          <w:rFonts w:ascii="Times New Roman" w:eastAsia="宋体" w:hAnsi="Times New Roman"/>
          <w:sz w:val="24"/>
        </w:rPr>
        <w:t>连续直接测量系统的统一技术标准，系统组成、样品采集和预处理、量程适配、性能评价、校准质控、数据采集处理及运行质量保证等要求尚不完善。为落实国家工业</w:t>
      </w:r>
      <w:r w:rsidR="002A594E" w:rsidRPr="002A594E">
        <w:rPr>
          <w:rFonts w:ascii="Times New Roman" w:eastAsia="宋体" w:hAnsi="Times New Roman"/>
          <w:sz w:val="24"/>
        </w:rPr>
        <w:t>N₂O</w:t>
      </w:r>
      <w:r w:rsidR="002A594E" w:rsidRPr="002A594E">
        <w:rPr>
          <w:rFonts w:ascii="Times New Roman" w:eastAsia="宋体" w:hAnsi="Times New Roman"/>
          <w:sz w:val="24"/>
        </w:rPr>
        <w:t>排放控制政策，填补相关监测标准空白，保障监测数据真实、准确、完整和可追溯，编制单位申报《温室气体排放连续直接测量系统技术规范</w:t>
      </w:r>
      <w:r w:rsidR="002A594E" w:rsidRPr="002A594E">
        <w:rPr>
          <w:rFonts w:ascii="Times New Roman" w:eastAsia="宋体" w:hAnsi="Times New Roman"/>
          <w:sz w:val="24"/>
        </w:rPr>
        <w:t xml:space="preserve"> </w:t>
      </w:r>
      <w:r w:rsidR="002A594E" w:rsidRPr="002A594E">
        <w:rPr>
          <w:rFonts w:ascii="Times New Roman" w:eastAsia="宋体" w:hAnsi="Times New Roman"/>
          <w:sz w:val="24"/>
        </w:rPr>
        <w:t>工业尾气氧化亚氮（</w:t>
      </w:r>
      <w:r w:rsidR="002A594E" w:rsidRPr="002A594E">
        <w:rPr>
          <w:rFonts w:ascii="Times New Roman" w:eastAsia="宋体" w:hAnsi="Times New Roman"/>
          <w:sz w:val="24"/>
        </w:rPr>
        <w:t>N₂O</w:t>
      </w:r>
      <w:r w:rsidR="002A594E" w:rsidRPr="002A594E">
        <w:rPr>
          <w:rFonts w:ascii="Times New Roman" w:eastAsia="宋体" w:hAnsi="Times New Roman"/>
          <w:sz w:val="24"/>
        </w:rPr>
        <w:t>）》团体标准项目，经协会立项审查通过后，正式启动本标准编制工作</w:t>
      </w:r>
      <w:r>
        <w:rPr>
          <w:rFonts w:ascii="Times New Roman" w:eastAsia="宋体" w:hAnsi="Times New Roman"/>
          <w:sz w:val="24"/>
        </w:rPr>
        <w:t>。</w:t>
      </w:r>
    </w:p>
    <w:p w14:paraId="4B49DBD5" w14:textId="77777777" w:rsidR="00D41BB6" w:rsidRDefault="00000000">
      <w:pPr>
        <w:pStyle w:val="2"/>
        <w:spacing w:before="156" w:after="156"/>
      </w:pPr>
      <w:r>
        <w:rPr>
          <w:rFonts w:hint="eastAsia"/>
        </w:rPr>
        <w:t>主要工作过程</w:t>
      </w:r>
    </w:p>
    <w:p w14:paraId="6B835650" w14:textId="19B1C10E" w:rsidR="00D41BB6" w:rsidRDefault="00000000">
      <w:pPr>
        <w:spacing w:line="360" w:lineRule="auto"/>
        <w:ind w:firstLineChars="200" w:firstLine="480"/>
        <w:rPr>
          <w:rFonts w:ascii="Times New Roman" w:eastAsia="宋体" w:hAnsi="Times New Roman"/>
          <w:sz w:val="24"/>
        </w:rPr>
      </w:pPr>
      <w:r>
        <w:rPr>
          <w:rFonts w:ascii="Times New Roman" w:eastAsia="宋体" w:hAnsi="Times New Roman" w:hint="eastAsia"/>
          <w:sz w:val="24"/>
        </w:rPr>
        <w:t>2026</w:t>
      </w:r>
      <w:r>
        <w:rPr>
          <w:rFonts w:ascii="Times New Roman" w:eastAsia="宋体" w:hAnsi="Times New Roman" w:hint="eastAsia"/>
          <w:sz w:val="24"/>
        </w:rPr>
        <w:t>年</w:t>
      </w:r>
      <w:r w:rsidR="00652105">
        <w:rPr>
          <w:rFonts w:ascii="Times New Roman" w:eastAsia="宋体" w:hAnsi="Times New Roman" w:hint="eastAsia"/>
          <w:sz w:val="24"/>
        </w:rPr>
        <w:t>4</w:t>
      </w:r>
      <w:r>
        <w:rPr>
          <w:rFonts w:ascii="Times New Roman" w:eastAsia="宋体" w:hAnsi="Times New Roman" w:hint="eastAsia"/>
          <w:sz w:val="24"/>
        </w:rPr>
        <w:t>月，成立标准编制小组，按照《标准化工作导则第</w:t>
      </w:r>
      <w:r>
        <w:rPr>
          <w:rFonts w:ascii="Times New Roman" w:eastAsia="宋体" w:hAnsi="Times New Roman" w:hint="eastAsia"/>
          <w:sz w:val="24"/>
        </w:rPr>
        <w:t>1</w:t>
      </w:r>
      <w:r>
        <w:rPr>
          <w:rFonts w:ascii="Times New Roman" w:eastAsia="宋体" w:hAnsi="Times New Roman" w:hint="eastAsia"/>
          <w:sz w:val="24"/>
        </w:rPr>
        <w:t>部分：标准化文件的结构和起草规则》（</w:t>
      </w:r>
      <w:r>
        <w:rPr>
          <w:rFonts w:ascii="Times New Roman" w:eastAsia="宋体" w:hAnsi="Times New Roman" w:hint="eastAsia"/>
          <w:sz w:val="24"/>
        </w:rPr>
        <w:t>GB/T1.1-2020</w:t>
      </w:r>
      <w:r>
        <w:rPr>
          <w:rFonts w:ascii="Times New Roman" w:eastAsia="宋体" w:hAnsi="Times New Roman" w:hint="eastAsia"/>
          <w:sz w:val="24"/>
        </w:rPr>
        <w:t>）要求，制定工作计划并开展标准编</w:t>
      </w:r>
      <w:r w:rsidRPr="00246B96">
        <w:rPr>
          <w:rFonts w:ascii="Times New Roman" w:eastAsia="宋体" w:hAnsi="Times New Roman" w:hint="eastAsia"/>
          <w:sz w:val="24"/>
          <w:szCs w:val="24"/>
        </w:rPr>
        <w:lastRenderedPageBreak/>
        <w:t>制前期研究工作。</w:t>
      </w:r>
      <w:r w:rsidR="00E7149F" w:rsidRPr="00246B96">
        <w:rPr>
          <w:rFonts w:ascii="Times New Roman" w:eastAsia="宋体" w:hAnsi="Times New Roman"/>
          <w:sz w:val="24"/>
          <w:szCs w:val="24"/>
        </w:rPr>
        <w:t>编制组对国内外工业氧化亚氮排放连续直接测量方法、监测系统技术路线、排放特征、共存组分干扰、量程跨度、校准质控和数据处理要求等开展研究，在文献梳理和生产企业调研基础上，结合我国工业氧化亚氮连续直接测量技术发展现状，确定标准编制的基本原则、技术框架和主要试验方法，并于</w:t>
      </w:r>
      <w:r w:rsidR="00E7149F" w:rsidRPr="00246B96">
        <w:rPr>
          <w:rFonts w:ascii="Times New Roman" w:eastAsia="宋体" w:hAnsi="Times New Roman"/>
          <w:sz w:val="24"/>
          <w:szCs w:val="24"/>
        </w:rPr>
        <w:t>2026</w:t>
      </w:r>
      <w:r w:rsidR="00E7149F" w:rsidRPr="00246B96">
        <w:rPr>
          <w:rFonts w:ascii="Times New Roman" w:eastAsia="宋体" w:hAnsi="Times New Roman"/>
          <w:sz w:val="24"/>
          <w:szCs w:val="24"/>
        </w:rPr>
        <w:t>年</w:t>
      </w:r>
      <w:r w:rsidR="00E7149F" w:rsidRPr="00246B96">
        <w:rPr>
          <w:rFonts w:ascii="Times New Roman" w:eastAsia="宋体" w:hAnsi="Times New Roman"/>
          <w:sz w:val="24"/>
          <w:szCs w:val="24"/>
        </w:rPr>
        <w:t>5</w:t>
      </w:r>
      <w:r w:rsidR="00E7149F" w:rsidRPr="00246B96">
        <w:rPr>
          <w:rFonts w:ascii="Times New Roman" w:eastAsia="宋体" w:hAnsi="Times New Roman"/>
          <w:sz w:val="24"/>
          <w:szCs w:val="24"/>
        </w:rPr>
        <w:t>月</w:t>
      </w:r>
      <w:r w:rsidR="00E7149F" w:rsidRPr="00246B96">
        <w:rPr>
          <w:rFonts w:ascii="Times New Roman" w:eastAsia="宋体" w:hAnsi="Times New Roman"/>
          <w:sz w:val="24"/>
          <w:szCs w:val="24"/>
        </w:rPr>
        <w:t>2</w:t>
      </w:r>
      <w:r w:rsidR="00E7149F" w:rsidRPr="00246B96">
        <w:rPr>
          <w:rFonts w:ascii="Times New Roman" w:eastAsia="宋体" w:hAnsi="Times New Roman"/>
          <w:sz w:val="24"/>
          <w:szCs w:val="24"/>
        </w:rPr>
        <w:t>日提交《温室气体排放连续直接测量系统技术规范</w:t>
      </w:r>
      <w:r w:rsidR="00E7149F" w:rsidRPr="00246B96">
        <w:rPr>
          <w:rFonts w:ascii="Times New Roman" w:eastAsia="宋体" w:hAnsi="Times New Roman"/>
          <w:sz w:val="24"/>
          <w:szCs w:val="24"/>
        </w:rPr>
        <w:t xml:space="preserve"> </w:t>
      </w:r>
      <w:r w:rsidR="00E7149F" w:rsidRPr="00246B96">
        <w:rPr>
          <w:rFonts w:ascii="Times New Roman" w:eastAsia="宋体" w:hAnsi="Times New Roman"/>
          <w:sz w:val="24"/>
          <w:szCs w:val="24"/>
        </w:rPr>
        <w:t>工业尾气氧化亚氮（</w:t>
      </w:r>
      <w:r w:rsidR="00E7149F" w:rsidRPr="00246B96">
        <w:rPr>
          <w:rFonts w:ascii="Times New Roman" w:eastAsia="宋体" w:hAnsi="Times New Roman"/>
          <w:sz w:val="24"/>
          <w:szCs w:val="24"/>
        </w:rPr>
        <w:t>N₂O</w:t>
      </w:r>
      <w:r w:rsidR="00E7149F" w:rsidRPr="00246B96">
        <w:rPr>
          <w:rFonts w:ascii="Times New Roman" w:eastAsia="宋体" w:hAnsi="Times New Roman"/>
          <w:sz w:val="24"/>
          <w:szCs w:val="24"/>
        </w:rPr>
        <w:t>）》项目建议书及相关申报材料</w:t>
      </w:r>
      <w:r w:rsidRPr="00246B96">
        <w:rPr>
          <w:rFonts w:ascii="Times New Roman" w:eastAsia="宋体" w:hAnsi="Times New Roman" w:hint="eastAsia"/>
          <w:sz w:val="24"/>
          <w:szCs w:val="24"/>
        </w:rPr>
        <w:t>。</w:t>
      </w:r>
    </w:p>
    <w:p w14:paraId="26A1A76B" w14:textId="77777777" w:rsidR="00493CD8" w:rsidRDefault="00493CD8">
      <w:pPr>
        <w:pStyle w:val="A-z"/>
        <w:ind w:firstLine="480"/>
        <w:rPr>
          <w:rFonts w:cstheme="minorBidi"/>
          <w:szCs w:val="22"/>
        </w:rPr>
      </w:pPr>
      <w:r w:rsidRPr="00493CD8">
        <w:rPr>
          <w:rFonts w:cstheme="minorBidi" w:hint="eastAsia"/>
          <w:szCs w:val="22"/>
        </w:rPr>
        <w:t>2026</w:t>
      </w:r>
      <w:r w:rsidRPr="00493CD8">
        <w:rPr>
          <w:rFonts w:cstheme="minorBidi" w:hint="eastAsia"/>
          <w:szCs w:val="22"/>
        </w:rPr>
        <w:t>年</w:t>
      </w:r>
      <w:r w:rsidRPr="00493CD8">
        <w:rPr>
          <w:rFonts w:cstheme="minorBidi" w:hint="eastAsia"/>
          <w:szCs w:val="22"/>
        </w:rPr>
        <w:t>5</w:t>
      </w:r>
      <w:r w:rsidRPr="00493CD8">
        <w:rPr>
          <w:rFonts w:cstheme="minorBidi" w:hint="eastAsia"/>
          <w:szCs w:val="22"/>
        </w:rPr>
        <w:t>月</w:t>
      </w:r>
      <w:r w:rsidRPr="00493CD8">
        <w:rPr>
          <w:rFonts w:cstheme="minorBidi" w:hint="eastAsia"/>
          <w:szCs w:val="22"/>
        </w:rPr>
        <w:t>10</w:t>
      </w:r>
      <w:r w:rsidRPr="00493CD8">
        <w:rPr>
          <w:rFonts w:cstheme="minorBidi" w:hint="eastAsia"/>
          <w:szCs w:val="22"/>
        </w:rPr>
        <w:t>日，在北京组织召开标准立项研讨会。编制组汇报了标准编制的目的意义、适用范围、总体框架和技术思路，会议邀请行业专家对系统组成、测量方式、性能指标、现场检测、质量保证和数据处理等内容进行研讨，并提出修改建议。会后，编制组根据专家意见进一步修改标准讨论稿和编制说明。</w:t>
      </w:r>
    </w:p>
    <w:p w14:paraId="5731550C" w14:textId="1726A1EE" w:rsidR="00493CD8" w:rsidRPr="00493CD8" w:rsidRDefault="00493CD8" w:rsidP="00493CD8">
      <w:pPr>
        <w:pStyle w:val="A-z"/>
        <w:ind w:firstLine="480"/>
        <w:rPr>
          <w:rStyle w:val="A-zChar"/>
        </w:rPr>
      </w:pPr>
      <w:r w:rsidRPr="00493CD8">
        <w:rPr>
          <w:rStyle w:val="A-zChar"/>
          <w:rFonts w:hint="eastAsia"/>
        </w:rPr>
        <w:t>2026</w:t>
      </w:r>
      <w:r w:rsidRPr="00493CD8">
        <w:rPr>
          <w:rStyle w:val="A-zChar"/>
          <w:rFonts w:hint="eastAsia"/>
        </w:rPr>
        <w:t>年</w:t>
      </w:r>
      <w:r w:rsidRPr="00493CD8">
        <w:rPr>
          <w:rStyle w:val="A-zChar"/>
          <w:rFonts w:hint="eastAsia"/>
        </w:rPr>
        <w:t>5</w:t>
      </w:r>
      <w:r w:rsidRPr="00493CD8">
        <w:rPr>
          <w:rStyle w:val="A-zChar"/>
          <w:rFonts w:hint="eastAsia"/>
        </w:rPr>
        <w:t>月至</w:t>
      </w:r>
      <w:r>
        <w:rPr>
          <w:rStyle w:val="A-zChar"/>
          <w:rFonts w:hint="eastAsia"/>
        </w:rPr>
        <w:t>8</w:t>
      </w:r>
      <w:r w:rsidRPr="00493CD8">
        <w:rPr>
          <w:rStyle w:val="A-zChar"/>
          <w:rFonts w:hint="eastAsia"/>
        </w:rPr>
        <w:t>月，编制组根据前期调研和研究成果，围绕样品采集与传输、预处理系统、自动质控、量程切换、实验室性能检测、现场检测及数据采集处理等内容开展多轮论证，初步完成标准草案。期间邀请生产企业、监测机构、设备制造单位和行业专家开展线上、线下交流，对主要技术条款及指标设置进行逐项讨论。</w:t>
      </w:r>
    </w:p>
    <w:p w14:paraId="7010261C" w14:textId="0EA19B3B" w:rsidR="00D41BB6" w:rsidRDefault="00493CD8" w:rsidP="00493CD8">
      <w:pPr>
        <w:pStyle w:val="A-z"/>
        <w:ind w:firstLine="480"/>
      </w:pPr>
      <w:r w:rsidRPr="00493CD8">
        <w:rPr>
          <w:rStyle w:val="A-zChar"/>
        </w:rPr>
        <w:t>2026</w:t>
      </w:r>
      <w:r w:rsidRPr="00493CD8">
        <w:rPr>
          <w:rStyle w:val="A-zChar"/>
        </w:rPr>
        <w:t>年</w:t>
      </w:r>
      <w:r>
        <w:rPr>
          <w:rStyle w:val="A-zChar"/>
          <w:rFonts w:hint="eastAsia"/>
        </w:rPr>
        <w:t>8</w:t>
      </w:r>
      <w:r w:rsidRPr="00493CD8">
        <w:rPr>
          <w:rStyle w:val="A-zChar"/>
        </w:rPr>
        <w:t>月，编制组对标准适用范围、术语和定义、系统组成、技术要求、性能指标、检测方法、质量保证、检测项目及规范性附录进行逐条讨论和校对，形成《温室气体排放连续直接测量系统技术规范</w:t>
      </w:r>
      <w:r w:rsidRPr="00493CD8">
        <w:rPr>
          <w:rStyle w:val="A-zChar"/>
        </w:rPr>
        <w:t xml:space="preserve"> </w:t>
      </w:r>
      <w:r w:rsidRPr="00493CD8">
        <w:rPr>
          <w:rStyle w:val="A-zChar"/>
        </w:rPr>
        <w:t>工业尾气氧化亚氮（</w:t>
      </w:r>
      <w:r w:rsidRPr="00493CD8">
        <w:rPr>
          <w:rStyle w:val="A-zChar"/>
        </w:rPr>
        <w:t>N₂O</w:t>
      </w:r>
      <w:r w:rsidRPr="00493CD8">
        <w:rPr>
          <w:rStyle w:val="A-zChar"/>
        </w:rPr>
        <w:t>）》（征求意见稿）及本编制说明。</w:t>
      </w:r>
    </w:p>
    <w:p w14:paraId="3692FA88" w14:textId="77777777" w:rsidR="00D41BB6" w:rsidRDefault="00000000">
      <w:pPr>
        <w:pStyle w:val="1"/>
        <w:spacing w:before="156" w:after="156"/>
        <w:rPr>
          <w:bCs/>
          <w:smallCaps/>
          <w:kern w:val="2"/>
          <w:sz w:val="36"/>
          <w:szCs w:val="28"/>
        </w:rPr>
      </w:pPr>
      <w:r>
        <w:rPr>
          <w:rFonts w:hint="eastAsia"/>
          <w:bCs/>
          <w:smallCaps/>
          <w:kern w:val="2"/>
          <w:sz w:val="36"/>
          <w:szCs w:val="28"/>
        </w:rPr>
        <w:t>标准制定的必要性和意义</w:t>
      </w:r>
    </w:p>
    <w:p w14:paraId="3FA1FEB6" w14:textId="2390BC13" w:rsidR="00D41BB6" w:rsidRDefault="005B1524">
      <w:pPr>
        <w:spacing w:line="360" w:lineRule="auto"/>
        <w:ind w:firstLineChars="200" w:firstLine="480"/>
        <w:rPr>
          <w:rFonts w:ascii="Times New Roman" w:eastAsia="宋体" w:hAnsi="Times New Roman"/>
          <w:sz w:val="24"/>
        </w:rPr>
      </w:pPr>
      <w:r w:rsidRPr="005B1524">
        <w:rPr>
          <w:rFonts w:ascii="Times New Roman" w:eastAsia="宋体" w:hAnsi="Times New Roman" w:hint="eastAsia"/>
          <w:sz w:val="24"/>
        </w:rPr>
        <w:t>氧化亚氮兼具强温室效应与臭氧层破坏作用，在我国温室气体排放体系中占据不可忽视的比重。</w:t>
      </w:r>
      <w:r w:rsidRPr="005B1524">
        <w:rPr>
          <w:rFonts w:ascii="Times New Roman" w:eastAsia="宋体" w:hAnsi="Times New Roman"/>
          <w:sz w:val="24"/>
        </w:rPr>
        <w:t>2020</w:t>
      </w:r>
      <w:r w:rsidRPr="005B1524">
        <w:rPr>
          <w:rFonts w:ascii="Times New Roman" w:eastAsia="宋体" w:hAnsi="Times New Roman"/>
          <w:sz w:val="24"/>
        </w:rPr>
        <w:t>年全国氧化亚氮排放量折合二氧化碳当量占温室气体总排放量的</w:t>
      </w:r>
      <w:r w:rsidRPr="005B1524">
        <w:rPr>
          <w:rFonts w:ascii="Times New Roman" w:eastAsia="宋体" w:hAnsi="Times New Roman"/>
          <w:sz w:val="24"/>
        </w:rPr>
        <w:t>4.2%</w:t>
      </w:r>
      <w:r w:rsidRPr="005B1524">
        <w:rPr>
          <w:rFonts w:ascii="Times New Roman" w:eastAsia="宋体" w:hAnsi="Times New Roman"/>
          <w:sz w:val="24"/>
        </w:rPr>
        <w:t>，其中工业生产过程排放占比达到</w:t>
      </w:r>
      <w:r w:rsidRPr="005B1524">
        <w:rPr>
          <w:rFonts w:ascii="Times New Roman" w:eastAsia="宋体" w:hAnsi="Times New Roman"/>
          <w:sz w:val="24"/>
        </w:rPr>
        <w:t>24.7%</w:t>
      </w:r>
      <w:r w:rsidRPr="005B1524">
        <w:rPr>
          <w:rFonts w:ascii="Times New Roman" w:eastAsia="宋体" w:hAnsi="Times New Roman"/>
          <w:sz w:val="24"/>
        </w:rPr>
        <w:t>，硝酸、己二酸、己内酰胺等重点化工行业具有较大的排放量和减排空间。现有核算标准主要解决排放边界、活动数据和排放因子问题，尚不能替代对工业尾气</w:t>
      </w:r>
      <w:r w:rsidRPr="005B1524">
        <w:rPr>
          <w:rFonts w:ascii="Times New Roman" w:eastAsia="宋体" w:hAnsi="Times New Roman"/>
          <w:sz w:val="24"/>
        </w:rPr>
        <w:t>N₂O</w:t>
      </w:r>
      <w:r w:rsidRPr="005B1524">
        <w:rPr>
          <w:rFonts w:ascii="Times New Roman" w:eastAsia="宋体" w:hAnsi="Times New Roman"/>
          <w:sz w:val="24"/>
        </w:rPr>
        <w:t>浓度、尾气流量及运行状态的连续直接测量。制定统一的连续直接测量系统技术规范，是完善我国非二氧化碳温室气体监测、报告和核查技术体系，提升排放数据质量的重要基础</w:t>
      </w:r>
      <w:r>
        <w:rPr>
          <w:rFonts w:ascii="Times New Roman" w:eastAsia="宋体" w:hAnsi="Times New Roman" w:hint="eastAsia"/>
          <w:sz w:val="24"/>
        </w:rPr>
        <w:t>。</w:t>
      </w:r>
    </w:p>
    <w:p w14:paraId="26CA95B9" w14:textId="3A32441A" w:rsidR="00E36453" w:rsidRPr="00E36453" w:rsidRDefault="005B1524" w:rsidP="00E36453">
      <w:pPr>
        <w:spacing w:line="360" w:lineRule="auto"/>
        <w:ind w:firstLineChars="200" w:firstLine="480"/>
        <w:rPr>
          <w:rFonts w:ascii="Times New Roman" w:eastAsia="宋体" w:hAnsi="Times New Roman"/>
          <w:sz w:val="24"/>
        </w:rPr>
      </w:pPr>
      <w:r w:rsidRPr="005B1524">
        <w:rPr>
          <w:rFonts w:ascii="Times New Roman" w:eastAsia="宋体" w:hAnsi="Times New Roman" w:hint="eastAsia"/>
          <w:sz w:val="24"/>
        </w:rPr>
        <w:t>硝酸、己二酸、己内酰胺生产过程均可能副产氧化亚氮，且不同生产工艺、</w:t>
      </w:r>
      <w:r w:rsidRPr="005B1524">
        <w:rPr>
          <w:rFonts w:ascii="Times New Roman" w:eastAsia="宋体" w:hAnsi="Times New Roman" w:hint="eastAsia"/>
          <w:sz w:val="24"/>
        </w:rPr>
        <w:lastRenderedPageBreak/>
        <w:t>治理路线和运行工况下的</w:t>
      </w:r>
      <w:r w:rsidRPr="005B1524">
        <w:rPr>
          <w:rFonts w:ascii="Times New Roman" w:eastAsia="宋体" w:hAnsi="Times New Roman"/>
          <w:sz w:val="24"/>
        </w:rPr>
        <w:t>N₂O</w:t>
      </w:r>
      <w:r w:rsidRPr="005B1524">
        <w:rPr>
          <w:rFonts w:ascii="Times New Roman" w:eastAsia="宋体" w:hAnsi="Times New Roman"/>
          <w:sz w:val="24"/>
        </w:rPr>
        <w:t>浓度跨度较大。</w:t>
      </w:r>
      <w:r>
        <w:rPr>
          <w:rFonts w:ascii="Times New Roman" w:eastAsia="宋体" w:hAnsi="Times New Roman" w:hint="eastAsia"/>
          <w:sz w:val="24"/>
        </w:rPr>
        <w:t>双加压法硝酸生产每吨产品对应</w:t>
      </w:r>
      <w:r>
        <w:rPr>
          <w:rFonts w:ascii="Times New Roman" w:eastAsia="宋体" w:hAnsi="Times New Roman" w:hint="eastAsia"/>
          <w:sz w:val="24"/>
        </w:rPr>
        <w:t>N</w:t>
      </w:r>
      <w:r>
        <w:rPr>
          <w:rFonts w:ascii="Times New Roman" w:eastAsia="宋体" w:hAnsi="Times New Roman" w:hint="eastAsia"/>
          <w:sz w:val="24"/>
          <w:vertAlign w:val="subscript"/>
        </w:rPr>
        <w:t>2</w:t>
      </w:r>
      <w:r>
        <w:rPr>
          <w:rFonts w:ascii="Times New Roman" w:eastAsia="宋体" w:hAnsi="Times New Roman" w:hint="eastAsia"/>
          <w:sz w:val="24"/>
        </w:rPr>
        <w:t>O</w:t>
      </w:r>
      <w:r>
        <w:rPr>
          <w:rFonts w:ascii="Times New Roman" w:eastAsia="宋体" w:hAnsi="Times New Roman" w:hint="eastAsia"/>
          <w:sz w:val="24"/>
        </w:rPr>
        <w:t>排放量约</w:t>
      </w:r>
      <w:r>
        <w:rPr>
          <w:rFonts w:ascii="Times New Roman" w:eastAsia="宋体" w:hAnsi="Times New Roman" w:hint="eastAsia"/>
          <w:sz w:val="24"/>
        </w:rPr>
        <w:t>8.02kg</w:t>
      </w:r>
      <w:r>
        <w:rPr>
          <w:rFonts w:ascii="Times New Roman" w:eastAsia="宋体" w:hAnsi="Times New Roman" w:hint="eastAsia"/>
          <w:sz w:val="24"/>
        </w:rPr>
        <w:t>，己二酸生产工艺单吨产品</w:t>
      </w:r>
      <w:r>
        <w:rPr>
          <w:rFonts w:ascii="Times New Roman" w:eastAsia="宋体" w:hAnsi="Times New Roman" w:hint="eastAsia"/>
          <w:sz w:val="24"/>
        </w:rPr>
        <w:t>N</w:t>
      </w:r>
      <w:r>
        <w:rPr>
          <w:rFonts w:ascii="Times New Roman" w:eastAsia="宋体" w:hAnsi="Times New Roman" w:hint="eastAsia"/>
          <w:sz w:val="24"/>
          <w:vertAlign w:val="subscript"/>
        </w:rPr>
        <w:t>2</w:t>
      </w:r>
      <w:r>
        <w:rPr>
          <w:rFonts w:ascii="Times New Roman" w:eastAsia="宋体" w:hAnsi="Times New Roman" w:hint="eastAsia"/>
          <w:sz w:val="24"/>
        </w:rPr>
        <w:t>O</w:t>
      </w:r>
      <w:r>
        <w:rPr>
          <w:rFonts w:ascii="Times New Roman" w:eastAsia="宋体" w:hAnsi="Times New Roman" w:hint="eastAsia"/>
          <w:sz w:val="24"/>
        </w:rPr>
        <w:t>排放量可达</w:t>
      </w:r>
      <w:r>
        <w:rPr>
          <w:rFonts w:ascii="Times New Roman" w:eastAsia="宋体" w:hAnsi="Times New Roman" w:hint="eastAsia"/>
          <w:sz w:val="24"/>
        </w:rPr>
        <w:t>0.306</w:t>
      </w:r>
      <w:r>
        <w:rPr>
          <w:rFonts w:ascii="Times New Roman" w:eastAsia="宋体" w:hAnsi="Times New Roman" w:hint="eastAsia"/>
          <w:sz w:val="24"/>
        </w:rPr>
        <w:t>吨，己内酰胺行业排放强度约为</w:t>
      </w:r>
      <w:r>
        <w:rPr>
          <w:rFonts w:ascii="Times New Roman" w:eastAsia="宋体" w:hAnsi="Times New Roman" w:hint="eastAsia"/>
          <w:sz w:val="24"/>
        </w:rPr>
        <w:t>9kgN</w:t>
      </w:r>
      <w:r>
        <w:rPr>
          <w:rFonts w:ascii="Times New Roman" w:eastAsia="宋体" w:hAnsi="Times New Roman" w:hint="eastAsia"/>
          <w:sz w:val="24"/>
          <w:vertAlign w:val="subscript"/>
        </w:rPr>
        <w:t>2</w:t>
      </w:r>
      <w:r>
        <w:rPr>
          <w:rFonts w:ascii="Times New Roman" w:eastAsia="宋体" w:hAnsi="Times New Roman" w:hint="eastAsia"/>
          <w:sz w:val="24"/>
        </w:rPr>
        <w:t>O</w:t>
      </w:r>
      <w:r>
        <w:rPr>
          <w:rFonts w:ascii="Times New Roman" w:eastAsia="宋体" w:hAnsi="Times New Roman" w:hint="eastAsia"/>
          <w:sz w:val="24"/>
        </w:rPr>
        <w:t>每吨产品，</w:t>
      </w:r>
      <w:r w:rsidR="004675EA" w:rsidRPr="004675EA">
        <w:rPr>
          <w:rFonts w:ascii="Times New Roman" w:eastAsia="宋体" w:hAnsi="Times New Roman" w:hint="eastAsia"/>
          <w:sz w:val="24"/>
        </w:rPr>
        <w:t>长期以来，我国工业领域缺少统一的氧化亚氮连续直接测量技术规范，不同企业在监测点位设置、样品采集与传输、过滤除湿、气体分析、尾气参数测量、量程配置、系统校准、自动质控、运行维护和数据处理等方面存在差异，监测数据的准确性、连续性、可比性和可追溯性难以得到充分保障。企业也缺少清晰统一的系统设计、性能检测和运行质量保证依据，难以连续掌握生产负荷变化、装置启停、异常工况及治理设施运行状态对氧化亚氮排放的影响</w:t>
      </w:r>
      <w:r w:rsidR="00E36453" w:rsidRPr="00E36453">
        <w:rPr>
          <w:rFonts w:ascii="Times New Roman" w:eastAsia="宋体" w:hAnsi="Times New Roman"/>
          <w:sz w:val="24"/>
        </w:rPr>
        <w:t>。</w:t>
      </w:r>
    </w:p>
    <w:p w14:paraId="7B7D378C" w14:textId="7AB4AD3B" w:rsidR="00D41BB6" w:rsidRPr="00E36453" w:rsidRDefault="00677EAD" w:rsidP="00E36453">
      <w:pPr>
        <w:spacing w:line="360" w:lineRule="auto"/>
        <w:ind w:firstLineChars="200" w:firstLine="480"/>
        <w:rPr>
          <w:rFonts w:ascii="Times New Roman" w:eastAsia="宋体" w:hAnsi="Times New Roman"/>
          <w:sz w:val="24"/>
        </w:rPr>
      </w:pPr>
      <w:r w:rsidRPr="00677EAD">
        <w:rPr>
          <w:rFonts w:ascii="Times New Roman" w:eastAsia="宋体" w:hAnsi="Times New Roman" w:hint="eastAsia"/>
          <w:sz w:val="24"/>
        </w:rPr>
        <w:t>本标准建立适用于硝酸、己二酸、己内酰胺等行业工业尾气氧化亚氮排放连续直接测量系统的统一技术要求，对系统组成与结构、样品采集和预处理、校准与自动质控、量程切换、数据采集传输、实验室和现场性能指标、检测方法、安装与运行质量保证、检测项目以及数据统计和排放量计算等内容作出规定，为系统设计、生产、性能评价和现场应用提供标准化技术依据。标准实施后，可提高工业</w:t>
      </w:r>
      <w:r w:rsidRPr="00677EAD">
        <w:rPr>
          <w:rFonts w:ascii="Times New Roman" w:eastAsia="宋体" w:hAnsi="Times New Roman"/>
          <w:sz w:val="24"/>
        </w:rPr>
        <w:t>N₂O</w:t>
      </w:r>
      <w:r w:rsidRPr="00677EAD">
        <w:rPr>
          <w:rFonts w:ascii="Times New Roman" w:eastAsia="宋体" w:hAnsi="Times New Roman"/>
          <w:sz w:val="24"/>
        </w:rPr>
        <w:t>监测数据的真实性、准确性、完整性、连续性和可追溯性，为企业排放核算、治理设施运行评价、产品碳足迹核算、自愿减排项目开发和相关政策实施提供可靠的监测数据支撑，</w:t>
      </w:r>
      <w:r w:rsidRPr="00677EAD">
        <w:rPr>
          <w:rFonts w:ascii="Times New Roman" w:eastAsia="宋体" w:hAnsi="Times New Roman" w:hint="eastAsia"/>
          <w:sz w:val="24"/>
        </w:rPr>
        <w:t>推动形成“规范监测—准确计量—科学核算—质量控制”的技术链条</w:t>
      </w:r>
      <w:r w:rsidR="00E36453" w:rsidRPr="00E36453">
        <w:rPr>
          <w:rFonts w:ascii="Times New Roman" w:eastAsia="宋体" w:hAnsi="Times New Roman"/>
          <w:sz w:val="24"/>
        </w:rPr>
        <w:t>。</w:t>
      </w:r>
    </w:p>
    <w:p w14:paraId="0DC8EE7F" w14:textId="77777777" w:rsidR="00D41BB6" w:rsidRDefault="00000000">
      <w:pPr>
        <w:pStyle w:val="1"/>
        <w:spacing w:before="156" w:after="156"/>
      </w:pPr>
      <w:r>
        <w:rPr>
          <w:rFonts w:hint="eastAsia"/>
        </w:rPr>
        <w:t>行业概况</w:t>
      </w:r>
    </w:p>
    <w:p w14:paraId="707242B2" w14:textId="77777777" w:rsidR="00D41BB6" w:rsidRDefault="00000000">
      <w:pPr>
        <w:pStyle w:val="2"/>
        <w:spacing w:before="156" w:after="156"/>
      </w:pPr>
      <w:r>
        <w:rPr>
          <w:rFonts w:hint="eastAsia"/>
        </w:rPr>
        <w:t>硝酸、己二酸、己内酰胺行业发展现状</w:t>
      </w:r>
    </w:p>
    <w:p w14:paraId="302B3A30" w14:textId="53B182E1" w:rsidR="00B14602" w:rsidRPr="00B14602" w:rsidRDefault="00B14602" w:rsidP="00B14602">
      <w:pPr>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硝酸是一种具有强氧化性、腐蚀性的强酸，属于一元无机强酸，是重要的化工原料。硝酸下游主要用于生产浓硝酸、硝酸铵、己二酸、</w:t>
      </w:r>
      <w:r w:rsidRPr="00B14602">
        <w:rPr>
          <w:rFonts w:ascii="Times New Roman" w:eastAsia="宋体" w:hAnsi="Times New Roman" w:hint="eastAsia"/>
          <w:sz w:val="24"/>
        </w:rPr>
        <w:t>MDI</w:t>
      </w:r>
      <w:r w:rsidRPr="00B14602">
        <w:rPr>
          <w:rFonts w:ascii="Times New Roman" w:eastAsia="宋体" w:hAnsi="Times New Roman" w:hint="eastAsia"/>
          <w:sz w:val="24"/>
        </w:rPr>
        <w:t>、</w:t>
      </w:r>
      <w:r w:rsidRPr="00B14602">
        <w:rPr>
          <w:rFonts w:ascii="Times New Roman" w:eastAsia="宋体" w:hAnsi="Times New Roman" w:hint="eastAsia"/>
          <w:sz w:val="24"/>
        </w:rPr>
        <w:t>TDI</w:t>
      </w:r>
      <w:r w:rsidRPr="00B14602">
        <w:rPr>
          <w:rFonts w:ascii="Times New Roman" w:eastAsia="宋体" w:hAnsi="Times New Roman" w:hint="eastAsia"/>
          <w:sz w:val="24"/>
        </w:rPr>
        <w:t>、硝基氯苯等。</w:t>
      </w:r>
      <w:r w:rsidRPr="00B14602">
        <w:rPr>
          <w:rFonts w:ascii="Times New Roman" w:eastAsia="宋体" w:hAnsi="Times New Roman" w:hint="eastAsia"/>
          <w:sz w:val="24"/>
        </w:rPr>
        <w:t>2007</w:t>
      </w:r>
      <w:r w:rsidRPr="00B14602">
        <w:rPr>
          <w:rFonts w:ascii="Times New Roman" w:eastAsia="宋体" w:hAnsi="Times New Roman" w:hint="eastAsia"/>
          <w:sz w:val="24"/>
        </w:rPr>
        <w:t>年我国硝酸生产技术实现突破，双加压法硝酸生产工艺广泛推广，带动硝酸总量快速增长，</w:t>
      </w:r>
      <w:r w:rsidRPr="00B14602">
        <w:rPr>
          <w:rFonts w:ascii="Times New Roman" w:eastAsia="宋体" w:hAnsi="Times New Roman" w:hint="eastAsia"/>
          <w:sz w:val="24"/>
        </w:rPr>
        <w:t>2012-2015</w:t>
      </w:r>
      <w:r w:rsidRPr="00B14602">
        <w:rPr>
          <w:rFonts w:ascii="Times New Roman" w:eastAsia="宋体" w:hAnsi="Times New Roman" w:hint="eastAsia"/>
          <w:sz w:val="24"/>
        </w:rPr>
        <w:t>年期间，硝酸产能年均增速达到</w:t>
      </w:r>
      <w:r w:rsidRPr="00B14602">
        <w:rPr>
          <w:rFonts w:ascii="Times New Roman" w:eastAsia="宋体" w:hAnsi="Times New Roman" w:hint="eastAsia"/>
          <w:sz w:val="24"/>
        </w:rPr>
        <w:t>18%</w:t>
      </w:r>
      <w:r w:rsidRPr="00B14602">
        <w:rPr>
          <w:rFonts w:ascii="Times New Roman" w:eastAsia="宋体" w:hAnsi="Times New Roman" w:hint="eastAsia"/>
          <w:sz w:val="24"/>
        </w:rPr>
        <w:t>，</w:t>
      </w:r>
      <w:r w:rsidRPr="00B14602">
        <w:rPr>
          <w:rFonts w:ascii="Times New Roman" w:eastAsia="宋体" w:hAnsi="Times New Roman" w:hint="eastAsia"/>
          <w:sz w:val="24"/>
        </w:rPr>
        <w:t>2015</w:t>
      </w:r>
      <w:r w:rsidRPr="00B14602">
        <w:rPr>
          <w:rFonts w:ascii="Times New Roman" w:eastAsia="宋体" w:hAnsi="Times New Roman" w:hint="eastAsia"/>
          <w:sz w:val="24"/>
        </w:rPr>
        <w:t>年我国硝酸总量达到历史最高值，为</w:t>
      </w:r>
      <w:r w:rsidRPr="00B14602">
        <w:rPr>
          <w:rFonts w:ascii="Times New Roman" w:eastAsia="宋体" w:hAnsi="Times New Roman" w:hint="eastAsia"/>
          <w:sz w:val="24"/>
        </w:rPr>
        <w:t>2100</w:t>
      </w:r>
      <w:r w:rsidRPr="00B14602">
        <w:rPr>
          <w:rFonts w:ascii="Times New Roman" w:eastAsia="宋体" w:hAnsi="Times New Roman" w:hint="eastAsia"/>
          <w:sz w:val="24"/>
        </w:rPr>
        <w:t>万吨。</w:t>
      </w:r>
      <w:r w:rsidRPr="00B14602">
        <w:rPr>
          <w:rFonts w:ascii="Times New Roman" w:eastAsia="宋体" w:hAnsi="Times New Roman" w:hint="eastAsia"/>
          <w:sz w:val="24"/>
        </w:rPr>
        <w:t>2016-2021</w:t>
      </w:r>
      <w:r w:rsidRPr="00B14602">
        <w:rPr>
          <w:rFonts w:ascii="Times New Roman" w:eastAsia="宋体" w:hAnsi="Times New Roman" w:hint="eastAsia"/>
          <w:sz w:val="24"/>
        </w:rPr>
        <w:t>年期间，硝酸总量维持小幅增长，到</w:t>
      </w:r>
      <w:r w:rsidRPr="00B14602">
        <w:rPr>
          <w:rFonts w:ascii="Times New Roman" w:eastAsia="宋体" w:hAnsi="Times New Roman" w:hint="eastAsia"/>
          <w:sz w:val="24"/>
        </w:rPr>
        <w:t>2023</w:t>
      </w:r>
      <w:r w:rsidRPr="00B14602">
        <w:rPr>
          <w:rFonts w:ascii="Times New Roman" w:eastAsia="宋体" w:hAnsi="Times New Roman" w:hint="eastAsia"/>
          <w:sz w:val="24"/>
        </w:rPr>
        <w:t>年，我国硝酸总产能</w:t>
      </w:r>
      <w:r w:rsidRPr="00B14602">
        <w:rPr>
          <w:rFonts w:ascii="Times New Roman" w:eastAsia="宋体" w:hAnsi="Times New Roman" w:hint="eastAsia"/>
          <w:sz w:val="24"/>
        </w:rPr>
        <w:t>2089</w:t>
      </w:r>
      <w:r w:rsidRPr="00B14602">
        <w:rPr>
          <w:rFonts w:ascii="Times New Roman" w:eastAsia="宋体" w:hAnsi="Times New Roman" w:hint="eastAsia"/>
          <w:sz w:val="24"/>
        </w:rPr>
        <w:t>万吨，产量</w:t>
      </w:r>
      <w:r w:rsidRPr="00B14602">
        <w:rPr>
          <w:rFonts w:ascii="Times New Roman" w:eastAsia="宋体" w:hAnsi="Times New Roman" w:hint="eastAsia"/>
          <w:sz w:val="24"/>
        </w:rPr>
        <w:t>1499</w:t>
      </w:r>
      <w:r w:rsidRPr="00B14602">
        <w:rPr>
          <w:rFonts w:ascii="Times New Roman" w:eastAsia="宋体" w:hAnsi="Times New Roman" w:hint="eastAsia"/>
          <w:sz w:val="24"/>
        </w:rPr>
        <w:t>万吨，占全球总量的</w:t>
      </w:r>
      <w:r w:rsidRPr="00B14602">
        <w:rPr>
          <w:rFonts w:ascii="Times New Roman" w:eastAsia="宋体" w:hAnsi="Times New Roman" w:hint="eastAsia"/>
          <w:sz w:val="24"/>
        </w:rPr>
        <w:t>20%</w:t>
      </w:r>
      <w:r w:rsidRPr="00B14602">
        <w:rPr>
          <w:rFonts w:ascii="Times New Roman" w:eastAsia="宋体" w:hAnsi="Times New Roman" w:hint="eastAsia"/>
          <w:sz w:val="24"/>
        </w:rPr>
        <w:t>左右，是全球最大的硝酸生产国家，</w:t>
      </w:r>
      <w:r w:rsidRPr="00B14602">
        <w:rPr>
          <w:rFonts w:ascii="Times New Roman" w:eastAsia="宋体" w:hAnsi="Times New Roman" w:hint="eastAsia"/>
          <w:sz w:val="24"/>
        </w:rPr>
        <w:t>2024</w:t>
      </w:r>
      <w:r w:rsidRPr="00B14602">
        <w:rPr>
          <w:rFonts w:ascii="Times New Roman" w:eastAsia="宋体" w:hAnsi="Times New Roman" w:hint="eastAsia"/>
          <w:sz w:val="24"/>
        </w:rPr>
        <w:t>年，我国硝酸产量增长至</w:t>
      </w:r>
      <w:r w:rsidRPr="00B14602">
        <w:rPr>
          <w:rFonts w:ascii="Times New Roman" w:eastAsia="宋体" w:hAnsi="Times New Roman" w:hint="eastAsia"/>
          <w:sz w:val="24"/>
        </w:rPr>
        <w:t>1547</w:t>
      </w:r>
      <w:r w:rsidRPr="00B14602">
        <w:rPr>
          <w:rFonts w:ascii="Times New Roman" w:eastAsia="宋体" w:hAnsi="Times New Roman" w:hint="eastAsia"/>
          <w:sz w:val="24"/>
        </w:rPr>
        <w:t>万吨。截至</w:t>
      </w:r>
      <w:r w:rsidRPr="00B14602">
        <w:rPr>
          <w:rFonts w:ascii="Times New Roman" w:eastAsia="宋体" w:hAnsi="Times New Roman" w:hint="eastAsia"/>
          <w:sz w:val="24"/>
        </w:rPr>
        <w:t>2025</w:t>
      </w:r>
      <w:r w:rsidRPr="00B14602">
        <w:rPr>
          <w:rFonts w:ascii="Times New Roman" w:eastAsia="宋体" w:hAnsi="Times New Roman" w:hint="eastAsia"/>
          <w:sz w:val="24"/>
        </w:rPr>
        <w:t>年，我国共有硝酸企业</w:t>
      </w:r>
      <w:r w:rsidRPr="00B14602">
        <w:rPr>
          <w:rFonts w:ascii="Times New Roman" w:eastAsia="宋体" w:hAnsi="Times New Roman" w:hint="eastAsia"/>
          <w:sz w:val="24"/>
        </w:rPr>
        <w:t>76</w:t>
      </w:r>
      <w:r w:rsidRPr="00B14602">
        <w:rPr>
          <w:rFonts w:ascii="Times New Roman" w:eastAsia="宋体" w:hAnsi="Times New Roman" w:hint="eastAsia"/>
          <w:sz w:val="24"/>
        </w:rPr>
        <w:t>家，硝酸装置</w:t>
      </w:r>
      <w:r w:rsidRPr="00B14602">
        <w:rPr>
          <w:rFonts w:ascii="Times New Roman" w:eastAsia="宋体" w:hAnsi="Times New Roman" w:hint="eastAsia"/>
          <w:sz w:val="24"/>
        </w:rPr>
        <w:t>118</w:t>
      </w:r>
      <w:r w:rsidRPr="00B14602">
        <w:rPr>
          <w:rFonts w:ascii="Times New Roman" w:eastAsia="宋体" w:hAnsi="Times New Roman" w:hint="eastAsia"/>
          <w:sz w:val="24"/>
        </w:rPr>
        <w:t>套。装置规模以</w:t>
      </w:r>
      <w:r w:rsidRPr="00B14602">
        <w:rPr>
          <w:rFonts w:ascii="Times New Roman" w:eastAsia="宋体" w:hAnsi="Times New Roman" w:hint="eastAsia"/>
          <w:sz w:val="24"/>
        </w:rPr>
        <w:t>15</w:t>
      </w:r>
      <w:r w:rsidRPr="00B14602">
        <w:rPr>
          <w:rFonts w:ascii="Times New Roman" w:eastAsia="宋体" w:hAnsi="Times New Roman" w:hint="eastAsia"/>
          <w:sz w:val="24"/>
        </w:rPr>
        <w:lastRenderedPageBreak/>
        <w:t>万吨</w:t>
      </w:r>
      <w:r w:rsidRPr="00B14602">
        <w:rPr>
          <w:rFonts w:ascii="Times New Roman" w:eastAsia="宋体" w:hAnsi="Times New Roman" w:hint="eastAsia"/>
          <w:sz w:val="24"/>
        </w:rPr>
        <w:t>/</w:t>
      </w:r>
      <w:r w:rsidRPr="00B14602">
        <w:rPr>
          <w:rFonts w:ascii="Times New Roman" w:eastAsia="宋体" w:hAnsi="Times New Roman" w:hint="eastAsia"/>
          <w:sz w:val="24"/>
        </w:rPr>
        <w:t>年、</w:t>
      </w:r>
      <w:r w:rsidRPr="00B14602">
        <w:rPr>
          <w:rFonts w:ascii="Times New Roman" w:eastAsia="宋体" w:hAnsi="Times New Roman" w:hint="eastAsia"/>
          <w:sz w:val="24"/>
        </w:rPr>
        <w:t>27</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w:t>
      </w:r>
      <w:r w:rsidRPr="00B14602">
        <w:rPr>
          <w:rFonts w:ascii="Times New Roman" w:eastAsia="宋体" w:hAnsi="Times New Roman" w:hint="eastAsia"/>
          <w:sz w:val="24"/>
        </w:rPr>
        <w:t>36</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年为主。硝酸装置主要分布在北方地区，包括山东、陕西、河南、河北、</w:t>
      </w:r>
      <w:r w:rsidR="00513895">
        <w:rPr>
          <w:rFonts w:ascii="Times New Roman" w:eastAsia="宋体" w:hAnsi="Times New Roman" w:hint="eastAsia"/>
          <w:sz w:val="24"/>
        </w:rPr>
        <w:t>山西</w:t>
      </w:r>
      <w:r w:rsidRPr="00B14602">
        <w:rPr>
          <w:rFonts w:ascii="Times New Roman" w:eastAsia="宋体" w:hAnsi="Times New Roman" w:hint="eastAsia"/>
          <w:sz w:val="24"/>
        </w:rPr>
        <w:t>、新疆、内蒙古等省份，这些省份的硝酸产能占全国总量的</w:t>
      </w:r>
      <w:r w:rsidRPr="00B14602">
        <w:rPr>
          <w:rFonts w:ascii="Times New Roman" w:eastAsia="宋体" w:hAnsi="Times New Roman" w:hint="eastAsia"/>
          <w:sz w:val="24"/>
        </w:rPr>
        <w:t>64.5%</w:t>
      </w:r>
      <w:r w:rsidRPr="00B14602">
        <w:rPr>
          <w:rFonts w:ascii="Times New Roman" w:eastAsia="宋体" w:hAnsi="Times New Roman" w:hint="eastAsia"/>
          <w:sz w:val="24"/>
        </w:rPr>
        <w:t>；南方地区主要分布在贵州、重庆、四川等西南地区，这三省的硝酸产能占全国总量的</w:t>
      </w:r>
      <w:r w:rsidRPr="00B14602">
        <w:rPr>
          <w:rFonts w:ascii="Times New Roman" w:eastAsia="宋体" w:hAnsi="Times New Roman" w:hint="eastAsia"/>
          <w:sz w:val="24"/>
        </w:rPr>
        <w:t>14%</w:t>
      </w:r>
      <w:r w:rsidRPr="00B14602">
        <w:rPr>
          <w:rFonts w:ascii="Times New Roman" w:eastAsia="宋体" w:hAnsi="Times New Roman" w:hint="eastAsia"/>
          <w:sz w:val="24"/>
        </w:rPr>
        <w:t>。</w:t>
      </w:r>
    </w:p>
    <w:p w14:paraId="05640946" w14:textId="77777777" w:rsidR="00B14602" w:rsidRPr="00B14602" w:rsidRDefault="00B14602" w:rsidP="00B14602">
      <w:pPr>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己二酸是一种重要的有机化工原料，主要用于生产尼龙</w:t>
      </w:r>
      <w:r w:rsidRPr="00B14602">
        <w:rPr>
          <w:rFonts w:ascii="Times New Roman" w:eastAsia="宋体" w:hAnsi="Times New Roman" w:hint="eastAsia"/>
          <w:sz w:val="24"/>
        </w:rPr>
        <w:t>66</w:t>
      </w:r>
      <w:r w:rsidRPr="00B14602">
        <w:rPr>
          <w:rFonts w:ascii="Times New Roman" w:eastAsia="宋体" w:hAnsi="Times New Roman" w:hint="eastAsia"/>
          <w:sz w:val="24"/>
        </w:rPr>
        <w:t>、聚氨酯（</w:t>
      </w:r>
      <w:r w:rsidRPr="00B14602">
        <w:rPr>
          <w:rFonts w:ascii="Times New Roman" w:eastAsia="宋体" w:hAnsi="Times New Roman" w:hint="eastAsia"/>
          <w:sz w:val="24"/>
        </w:rPr>
        <w:t>PU</w:t>
      </w:r>
      <w:r w:rsidRPr="00B14602">
        <w:rPr>
          <w:rFonts w:ascii="Times New Roman" w:eastAsia="宋体" w:hAnsi="Times New Roman" w:hint="eastAsia"/>
          <w:sz w:val="24"/>
        </w:rPr>
        <w:t>）、增塑剂、润滑剂、食品添加剂等。</w:t>
      </w:r>
      <w:r w:rsidRPr="00B14602">
        <w:rPr>
          <w:rFonts w:ascii="Times New Roman" w:eastAsia="宋体" w:hAnsi="Times New Roman" w:hint="eastAsia"/>
          <w:sz w:val="24"/>
        </w:rPr>
        <w:t>2023</w:t>
      </w:r>
      <w:r w:rsidRPr="00B14602">
        <w:rPr>
          <w:rFonts w:ascii="Times New Roman" w:eastAsia="宋体" w:hAnsi="Times New Roman" w:hint="eastAsia"/>
          <w:sz w:val="24"/>
        </w:rPr>
        <w:t>年世界己二酸产能</w:t>
      </w:r>
      <w:r w:rsidRPr="00B14602">
        <w:rPr>
          <w:rFonts w:ascii="Times New Roman" w:eastAsia="宋体" w:hAnsi="Times New Roman" w:hint="eastAsia"/>
          <w:sz w:val="24"/>
        </w:rPr>
        <w:t>523.8</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年，产量为</w:t>
      </w:r>
      <w:r w:rsidRPr="00B14602">
        <w:rPr>
          <w:rFonts w:ascii="Times New Roman" w:eastAsia="宋体" w:hAnsi="Times New Roman" w:hint="eastAsia"/>
          <w:sz w:val="24"/>
        </w:rPr>
        <w:t>291.5</w:t>
      </w:r>
      <w:r w:rsidRPr="00B14602">
        <w:rPr>
          <w:rFonts w:ascii="Times New Roman" w:eastAsia="宋体" w:hAnsi="Times New Roman" w:hint="eastAsia"/>
          <w:sz w:val="24"/>
        </w:rPr>
        <w:t>万吨。中国是全球最大的己二酸生产国，</w:t>
      </w:r>
      <w:r w:rsidRPr="00B14602">
        <w:rPr>
          <w:rFonts w:ascii="Times New Roman" w:eastAsia="宋体" w:hAnsi="Times New Roman" w:hint="eastAsia"/>
          <w:sz w:val="24"/>
        </w:rPr>
        <w:t>2023</w:t>
      </w:r>
      <w:r w:rsidRPr="00B14602">
        <w:rPr>
          <w:rFonts w:ascii="Times New Roman" w:eastAsia="宋体" w:hAnsi="Times New Roman" w:hint="eastAsia"/>
          <w:sz w:val="24"/>
        </w:rPr>
        <w:t>年国内己二酸产能达</w:t>
      </w:r>
      <w:r w:rsidRPr="00B14602">
        <w:rPr>
          <w:rFonts w:ascii="Times New Roman" w:eastAsia="宋体" w:hAnsi="Times New Roman" w:hint="eastAsia"/>
          <w:sz w:val="24"/>
        </w:rPr>
        <w:t>374</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年。近年来，随着己二酸下游应用领域的扩展，尤其是新能源汽车、电子电器、高端装备制造等行业的快速发展，己二酸的市场需求持续增长。</w:t>
      </w:r>
      <w:r w:rsidRPr="00B14602">
        <w:rPr>
          <w:rFonts w:ascii="Times New Roman" w:eastAsia="宋体" w:hAnsi="Times New Roman" w:hint="eastAsia"/>
          <w:sz w:val="24"/>
        </w:rPr>
        <w:t>2023</w:t>
      </w:r>
      <w:r w:rsidRPr="00B14602">
        <w:rPr>
          <w:rFonts w:ascii="Times New Roman" w:eastAsia="宋体" w:hAnsi="Times New Roman" w:hint="eastAsia"/>
          <w:sz w:val="24"/>
        </w:rPr>
        <w:t>年国内己二酸年度总产量为</w:t>
      </w:r>
      <w:r w:rsidRPr="00B14602">
        <w:rPr>
          <w:rFonts w:ascii="Times New Roman" w:eastAsia="宋体" w:hAnsi="Times New Roman" w:hint="eastAsia"/>
          <w:sz w:val="24"/>
        </w:rPr>
        <w:t>230.75</w:t>
      </w:r>
      <w:r w:rsidRPr="00B14602">
        <w:rPr>
          <w:rFonts w:ascii="Times New Roman" w:eastAsia="宋体" w:hAnsi="Times New Roman" w:hint="eastAsia"/>
          <w:sz w:val="24"/>
        </w:rPr>
        <w:t>万吨，同比增长</w:t>
      </w:r>
      <w:r w:rsidRPr="00B14602">
        <w:rPr>
          <w:rFonts w:ascii="Times New Roman" w:eastAsia="宋体" w:hAnsi="Times New Roman" w:hint="eastAsia"/>
          <w:sz w:val="24"/>
        </w:rPr>
        <w:t>15.38%</w:t>
      </w:r>
      <w:r w:rsidRPr="00B14602">
        <w:rPr>
          <w:rFonts w:ascii="Times New Roman" w:eastAsia="宋体" w:hAnsi="Times New Roman" w:hint="eastAsia"/>
          <w:sz w:val="24"/>
        </w:rPr>
        <w:t>，显示出行业强劲的增长势头。随着政策的持续发力和技术的不断进步，中国己二酸产业正朝着高质量发展的方向稳步前进。</w:t>
      </w:r>
    </w:p>
    <w:p w14:paraId="6F8F09A3" w14:textId="329583D0" w:rsidR="00D41BB6" w:rsidRDefault="00B14602" w:rsidP="00B14602">
      <w:pPr>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己内酰胺是重要的环状有机化工中间体，上游以纯苯、环己酮、液氨、双氧水为核心原料，主流配套苯加氢制环己酮一体化产业链，国内生产主要为环己酮氨肟化法、羟胺法，主要用于生产尼龙</w:t>
      </w:r>
      <w:r w:rsidRPr="00B14602">
        <w:rPr>
          <w:rFonts w:ascii="Times New Roman" w:eastAsia="宋体" w:hAnsi="Times New Roman" w:hint="eastAsia"/>
          <w:sz w:val="24"/>
        </w:rPr>
        <w:t>-6</w:t>
      </w:r>
      <w:r w:rsidRPr="00B14602">
        <w:rPr>
          <w:rFonts w:ascii="Times New Roman" w:eastAsia="宋体" w:hAnsi="Times New Roman" w:hint="eastAsia"/>
          <w:sz w:val="24"/>
        </w:rPr>
        <w:t>纤维、尼龙</w:t>
      </w:r>
      <w:r w:rsidRPr="00B14602">
        <w:rPr>
          <w:rFonts w:ascii="Times New Roman" w:eastAsia="宋体" w:hAnsi="Times New Roman" w:hint="eastAsia"/>
          <w:sz w:val="24"/>
        </w:rPr>
        <w:t>-6</w:t>
      </w:r>
      <w:r w:rsidRPr="00B14602">
        <w:rPr>
          <w:rFonts w:ascii="Times New Roman" w:eastAsia="宋体" w:hAnsi="Times New Roman" w:hint="eastAsia"/>
          <w:sz w:val="24"/>
        </w:rPr>
        <w:t>工程塑料及相关高分子材料，并广泛应用于纺织、汽车、电子、机械等领域。近年来国内己内酰胺产能、产量连续三年稳步扩张，</w:t>
      </w:r>
      <w:r w:rsidRPr="00B14602">
        <w:rPr>
          <w:rFonts w:ascii="Times New Roman" w:eastAsia="宋体" w:hAnsi="Times New Roman" w:hint="eastAsia"/>
          <w:sz w:val="24"/>
        </w:rPr>
        <w:t>2022</w:t>
      </w:r>
      <w:r w:rsidRPr="00B14602">
        <w:rPr>
          <w:rFonts w:ascii="Times New Roman" w:eastAsia="宋体" w:hAnsi="Times New Roman" w:hint="eastAsia"/>
          <w:sz w:val="24"/>
        </w:rPr>
        <w:t>—</w:t>
      </w:r>
      <w:r w:rsidRPr="00B14602">
        <w:rPr>
          <w:rFonts w:ascii="Times New Roman" w:eastAsia="宋体" w:hAnsi="Times New Roman" w:hint="eastAsia"/>
          <w:sz w:val="24"/>
        </w:rPr>
        <w:t>2024</w:t>
      </w:r>
      <w:r w:rsidRPr="00B14602">
        <w:rPr>
          <w:rFonts w:ascii="Times New Roman" w:eastAsia="宋体" w:hAnsi="Times New Roman" w:hint="eastAsia"/>
          <w:sz w:val="24"/>
        </w:rPr>
        <w:t>年产能从</w:t>
      </w:r>
      <w:r w:rsidRPr="00B14602">
        <w:rPr>
          <w:rFonts w:ascii="Times New Roman" w:eastAsia="宋体" w:hAnsi="Times New Roman" w:hint="eastAsia"/>
          <w:sz w:val="24"/>
        </w:rPr>
        <w:t>583</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年增至</w:t>
      </w:r>
      <w:r w:rsidRPr="00B14602">
        <w:rPr>
          <w:rFonts w:ascii="Times New Roman" w:eastAsia="宋体" w:hAnsi="Times New Roman" w:hint="eastAsia"/>
          <w:sz w:val="24"/>
        </w:rPr>
        <w:t>693</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年，产量由</w:t>
      </w:r>
      <w:r w:rsidRPr="00B14602">
        <w:rPr>
          <w:rFonts w:ascii="Times New Roman" w:eastAsia="宋体" w:hAnsi="Times New Roman" w:hint="eastAsia"/>
          <w:sz w:val="24"/>
        </w:rPr>
        <w:t>423</w:t>
      </w:r>
      <w:r w:rsidRPr="00B14602">
        <w:rPr>
          <w:rFonts w:ascii="Times New Roman" w:eastAsia="宋体" w:hAnsi="Times New Roman" w:hint="eastAsia"/>
          <w:sz w:val="24"/>
        </w:rPr>
        <w:t>万吨提升至</w:t>
      </w:r>
      <w:r w:rsidRPr="00B14602">
        <w:rPr>
          <w:rFonts w:ascii="Times New Roman" w:eastAsia="宋体" w:hAnsi="Times New Roman" w:hint="eastAsia"/>
          <w:sz w:val="24"/>
        </w:rPr>
        <w:t>630</w:t>
      </w:r>
      <w:r w:rsidRPr="00B14602">
        <w:rPr>
          <w:rFonts w:ascii="Times New Roman" w:eastAsia="宋体" w:hAnsi="Times New Roman" w:hint="eastAsia"/>
          <w:sz w:val="24"/>
        </w:rPr>
        <w:t>万吨；产能利用率逐年上升，</w:t>
      </w:r>
      <w:r w:rsidRPr="00B14602">
        <w:rPr>
          <w:rFonts w:ascii="Times New Roman" w:eastAsia="宋体" w:hAnsi="Times New Roman" w:hint="eastAsia"/>
          <w:sz w:val="24"/>
        </w:rPr>
        <w:t>2024</w:t>
      </w:r>
      <w:r w:rsidRPr="00B14602">
        <w:rPr>
          <w:rFonts w:ascii="Times New Roman" w:eastAsia="宋体" w:hAnsi="Times New Roman" w:hint="eastAsia"/>
          <w:sz w:val="24"/>
        </w:rPr>
        <w:t>年开工率达</w:t>
      </w:r>
      <w:r w:rsidRPr="00B14602">
        <w:rPr>
          <w:rFonts w:ascii="Times New Roman" w:eastAsia="宋体" w:hAnsi="Times New Roman" w:hint="eastAsia"/>
          <w:sz w:val="24"/>
        </w:rPr>
        <w:t>90.9%</w:t>
      </w:r>
      <w:r w:rsidRPr="00B14602">
        <w:rPr>
          <w:rFonts w:ascii="Times New Roman" w:eastAsia="宋体" w:hAnsi="Times New Roman" w:hint="eastAsia"/>
          <w:sz w:val="24"/>
        </w:rPr>
        <w:t>，行业生产负荷显著提升，产业供给规模持续放大。截至</w:t>
      </w:r>
      <w:r w:rsidRPr="00B14602">
        <w:rPr>
          <w:rFonts w:ascii="Times New Roman" w:eastAsia="宋体" w:hAnsi="Times New Roman" w:hint="eastAsia"/>
          <w:sz w:val="24"/>
        </w:rPr>
        <w:t>2024</w:t>
      </w:r>
      <w:r w:rsidRPr="00B14602">
        <w:rPr>
          <w:rFonts w:ascii="Times New Roman" w:eastAsia="宋体" w:hAnsi="Times New Roman" w:hint="eastAsia"/>
          <w:sz w:val="24"/>
        </w:rPr>
        <w:t>年末，全国共有</w:t>
      </w:r>
      <w:r w:rsidRPr="00B14602">
        <w:rPr>
          <w:rFonts w:ascii="Times New Roman" w:eastAsia="宋体" w:hAnsi="Times New Roman" w:hint="eastAsia"/>
          <w:sz w:val="24"/>
        </w:rPr>
        <w:t>19</w:t>
      </w:r>
      <w:r w:rsidRPr="00B14602">
        <w:rPr>
          <w:rFonts w:ascii="Times New Roman" w:eastAsia="宋体" w:hAnsi="Times New Roman" w:hint="eastAsia"/>
          <w:sz w:val="24"/>
        </w:rPr>
        <w:t>家己内酰胺生产企业，总产能</w:t>
      </w:r>
      <w:r w:rsidRPr="00B14602">
        <w:rPr>
          <w:rFonts w:ascii="Times New Roman" w:eastAsia="宋体" w:hAnsi="Times New Roman" w:hint="eastAsia"/>
          <w:sz w:val="24"/>
        </w:rPr>
        <w:t>693</w:t>
      </w:r>
      <w:r w:rsidRPr="00B14602">
        <w:rPr>
          <w:rFonts w:ascii="Times New Roman" w:eastAsia="宋体" w:hAnsi="Times New Roman" w:hint="eastAsia"/>
          <w:sz w:val="24"/>
        </w:rPr>
        <w:t>万吨</w:t>
      </w:r>
      <w:r w:rsidRPr="00B14602">
        <w:rPr>
          <w:rFonts w:ascii="Times New Roman" w:eastAsia="宋体" w:hAnsi="Times New Roman" w:hint="eastAsia"/>
          <w:sz w:val="24"/>
        </w:rPr>
        <w:t>/</w:t>
      </w:r>
      <w:r w:rsidRPr="00B14602">
        <w:rPr>
          <w:rFonts w:ascii="Times New Roman" w:eastAsia="宋体" w:hAnsi="Times New Roman" w:hint="eastAsia"/>
          <w:sz w:val="24"/>
        </w:rPr>
        <w:t>年；己内酰胺行业产能集中度不高，国内前四家头部企业合计产能占全国总产能</w:t>
      </w:r>
      <w:r w:rsidRPr="00B14602">
        <w:rPr>
          <w:rFonts w:ascii="Times New Roman" w:eastAsia="宋体" w:hAnsi="Times New Roman" w:hint="eastAsia"/>
          <w:sz w:val="24"/>
        </w:rPr>
        <w:t>34.3%</w:t>
      </w:r>
      <w:r w:rsidRPr="00B14602">
        <w:rPr>
          <w:rFonts w:ascii="Times New Roman" w:eastAsia="宋体" w:hAnsi="Times New Roman" w:hint="eastAsia"/>
          <w:sz w:val="24"/>
        </w:rPr>
        <w:t>，生产企业分布在福建、山东、江苏、湖北、湖南、河北、河南、山西、浙江、内蒙古等省份</w:t>
      </w:r>
      <w:r>
        <w:rPr>
          <w:rFonts w:ascii="Times New Roman" w:eastAsia="宋体" w:hAnsi="Times New Roman" w:hint="eastAsia"/>
          <w:sz w:val="24"/>
        </w:rPr>
        <w:t>。</w:t>
      </w:r>
    </w:p>
    <w:p w14:paraId="5D719EC9" w14:textId="5C424A63" w:rsidR="00D41BB6" w:rsidRDefault="004A510C">
      <w:pPr>
        <w:pStyle w:val="2"/>
        <w:spacing w:before="156" w:after="156"/>
      </w:pPr>
      <w:r>
        <w:rPr>
          <w:rFonts w:hint="eastAsia"/>
        </w:rPr>
        <w:t>氧化亚氮排放</w:t>
      </w:r>
      <w:r w:rsidRPr="004A510C">
        <w:rPr>
          <w:rFonts w:hint="eastAsia"/>
        </w:rPr>
        <w:t>连续直接测量系统</w:t>
      </w:r>
      <w:r>
        <w:rPr>
          <w:rFonts w:hint="eastAsia"/>
        </w:rPr>
        <w:t>技术现状</w:t>
      </w:r>
    </w:p>
    <w:p w14:paraId="51B78207" w14:textId="77777777"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氧化亚氮排放连续直接测量系统通常由采样探头、样品传输及预处理装置、气体分析仪、工业尾气参数测量单元、数据采集与处理单元以及校准和质量控制单元组成。系统通过连续测量工业尾气中的</w:t>
      </w:r>
      <w:r w:rsidRPr="00B14602">
        <w:rPr>
          <w:rFonts w:ascii="Times New Roman" w:eastAsia="宋体" w:hAnsi="Times New Roman"/>
          <w:sz w:val="24"/>
        </w:rPr>
        <w:t>N₂O</w:t>
      </w:r>
      <w:r w:rsidRPr="00B14602">
        <w:rPr>
          <w:rFonts w:ascii="Times New Roman" w:eastAsia="宋体" w:hAnsi="Times New Roman"/>
          <w:sz w:val="24"/>
        </w:rPr>
        <w:t>浓度，并同步获取尾气流量、温度、压力、湿度等参数，实现</w:t>
      </w:r>
      <w:r w:rsidRPr="00B14602">
        <w:rPr>
          <w:rFonts w:ascii="Times New Roman" w:eastAsia="宋体" w:hAnsi="Times New Roman"/>
          <w:sz w:val="24"/>
        </w:rPr>
        <w:t>N₂O</w:t>
      </w:r>
      <w:r w:rsidRPr="00B14602">
        <w:rPr>
          <w:rFonts w:ascii="Times New Roman" w:eastAsia="宋体" w:hAnsi="Times New Roman"/>
          <w:sz w:val="24"/>
        </w:rPr>
        <w:t>排放速率和累计排放量的动态计算。与缺省排放因子法或基于短期测试确定排放因子的核算方式相比，连续直接测量不仅能够</w:t>
      </w:r>
      <w:r w:rsidRPr="00B14602">
        <w:rPr>
          <w:rFonts w:ascii="Times New Roman" w:eastAsia="宋体" w:hAnsi="Times New Roman"/>
          <w:sz w:val="24"/>
        </w:rPr>
        <w:lastRenderedPageBreak/>
        <w:t>准确获取正常状态下的排放量，还能够反映装置负荷变化、开停车、治理设施切换及异常工况下的排放波动，为排放核算、减排设施评价和生产过程优化提供更加完整的数据基础。</w:t>
      </w:r>
    </w:p>
    <w:p w14:paraId="080420AF" w14:textId="5C048E45"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目前，</w:t>
      </w:r>
      <w:r w:rsidRPr="00B14602">
        <w:rPr>
          <w:rFonts w:ascii="Times New Roman" w:eastAsia="宋体" w:hAnsi="Times New Roman"/>
          <w:sz w:val="24"/>
        </w:rPr>
        <w:t>N₂O</w:t>
      </w:r>
      <w:r w:rsidRPr="00B14602">
        <w:rPr>
          <w:rFonts w:ascii="Times New Roman" w:eastAsia="宋体" w:hAnsi="Times New Roman"/>
          <w:sz w:val="24"/>
        </w:rPr>
        <w:t>浓度连续测量主要采用红外光谱分析技术，包括非分散红外吸收法、傅里叶变换红外光谱法、可调谐激光吸收光谱法、量子级联激光吸收光谱法以及腔衰荡光谱法等。非分散红外吸收法结构相对简单、运行维护方便，适用于组分较为稳定且</w:t>
      </w:r>
      <w:r w:rsidRPr="00B14602">
        <w:rPr>
          <w:rFonts w:ascii="Times New Roman" w:eastAsia="宋体" w:hAnsi="Times New Roman"/>
          <w:sz w:val="24"/>
        </w:rPr>
        <w:t>N₂O</w:t>
      </w:r>
      <w:r w:rsidRPr="00B14602">
        <w:rPr>
          <w:rFonts w:ascii="Times New Roman" w:eastAsia="宋体" w:hAnsi="Times New Roman"/>
          <w:sz w:val="24"/>
        </w:rPr>
        <w:t>浓度较高的排放场景，但其光谱分辨能力有限，容易受到共存气体吸收和基线漂移的影响。傅里叶变换红外光谱法可在较宽光谱范围内同时分析</w:t>
      </w:r>
      <w:r w:rsidRPr="00B14602">
        <w:rPr>
          <w:rFonts w:ascii="Times New Roman" w:eastAsia="宋体" w:hAnsi="Times New Roman"/>
          <w:sz w:val="24"/>
        </w:rPr>
        <w:t>N₂O</w:t>
      </w:r>
      <w:r w:rsidRPr="00B14602">
        <w:rPr>
          <w:rFonts w:ascii="Times New Roman" w:eastAsia="宋体" w:hAnsi="Times New Roman"/>
          <w:sz w:val="24"/>
        </w:rPr>
        <w:t>、</w:t>
      </w:r>
      <w:r w:rsidRPr="00B14602">
        <w:rPr>
          <w:rFonts w:ascii="Times New Roman" w:eastAsia="宋体" w:hAnsi="Times New Roman"/>
          <w:sz w:val="24"/>
        </w:rPr>
        <w:t>CO₂</w:t>
      </w:r>
      <w:r w:rsidRPr="00B14602">
        <w:rPr>
          <w:rFonts w:ascii="Times New Roman" w:eastAsia="宋体" w:hAnsi="Times New Roman"/>
          <w:sz w:val="24"/>
        </w:rPr>
        <w:t>、</w:t>
      </w:r>
      <w:r w:rsidRPr="00B14602">
        <w:rPr>
          <w:rFonts w:ascii="Times New Roman" w:eastAsia="宋体" w:hAnsi="Times New Roman"/>
          <w:sz w:val="24"/>
        </w:rPr>
        <w:t>CO</w:t>
      </w:r>
      <w:r w:rsidRPr="00B14602">
        <w:rPr>
          <w:rFonts w:ascii="Times New Roman" w:eastAsia="宋体" w:hAnsi="Times New Roman"/>
          <w:sz w:val="24"/>
        </w:rPr>
        <w:t>、</w:t>
      </w:r>
      <w:r w:rsidRPr="00B14602">
        <w:rPr>
          <w:rFonts w:ascii="Times New Roman" w:eastAsia="宋体" w:hAnsi="Times New Roman"/>
          <w:sz w:val="24"/>
        </w:rPr>
        <w:t>NH₃</w:t>
      </w:r>
      <w:r w:rsidRPr="00B14602">
        <w:rPr>
          <w:rFonts w:ascii="Times New Roman" w:eastAsia="宋体" w:hAnsi="Times New Roman"/>
          <w:sz w:val="24"/>
        </w:rPr>
        <w:t>和水蒸气等多种组分，具有多组分同步测量和光谱干扰识别能力。上述两种技术已被广泛应用于固定污染源气体的在线或现场测量。</w:t>
      </w:r>
    </w:p>
    <w:p w14:paraId="2166A0C2" w14:textId="77777777"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近年来，以可调谐二极管激光和量子级联激光为代表的激光吸收光谱技术发展较快。该类技术可选择</w:t>
      </w:r>
      <w:r w:rsidRPr="00B14602">
        <w:rPr>
          <w:rFonts w:ascii="Times New Roman" w:eastAsia="宋体" w:hAnsi="Times New Roman"/>
          <w:sz w:val="24"/>
        </w:rPr>
        <w:t>N₂O</w:t>
      </w:r>
      <w:r w:rsidRPr="00B14602">
        <w:rPr>
          <w:rFonts w:ascii="Times New Roman" w:eastAsia="宋体" w:hAnsi="Times New Roman"/>
          <w:sz w:val="24"/>
        </w:rPr>
        <w:t>特征吸收谱线，通过窄线宽激光扫描降低邻近组分的交叉干扰，具有选择性强、响应速度快、检测灵敏度高和漂移相对较小等特点。研究表明，中红外量子级联激光能够实现</w:t>
      </w:r>
      <w:r w:rsidRPr="00B14602">
        <w:rPr>
          <w:rFonts w:ascii="Times New Roman" w:eastAsia="宋体" w:hAnsi="Times New Roman"/>
          <w:sz w:val="24"/>
        </w:rPr>
        <w:t>N₂O</w:t>
      </w:r>
      <w:r w:rsidRPr="00B14602">
        <w:rPr>
          <w:rFonts w:ascii="Times New Roman" w:eastAsia="宋体" w:hAnsi="Times New Roman"/>
          <w:sz w:val="24"/>
        </w:rPr>
        <w:t>与</w:t>
      </w:r>
      <w:r w:rsidRPr="00B14602">
        <w:rPr>
          <w:rFonts w:ascii="Times New Roman" w:eastAsia="宋体" w:hAnsi="Times New Roman"/>
          <w:sz w:val="24"/>
        </w:rPr>
        <w:t>CO</w:t>
      </w:r>
      <w:r w:rsidRPr="00B14602">
        <w:rPr>
          <w:rFonts w:ascii="Times New Roman" w:eastAsia="宋体" w:hAnsi="Times New Roman"/>
          <w:sz w:val="24"/>
        </w:rPr>
        <w:t>等气体的同步快速测量；结合长光程吸收池或增强型光学腔后，还可进一步提高低浓度</w:t>
      </w:r>
      <w:r w:rsidRPr="00B14602">
        <w:rPr>
          <w:rFonts w:ascii="Times New Roman" w:eastAsia="宋体" w:hAnsi="Times New Roman"/>
          <w:sz w:val="24"/>
        </w:rPr>
        <w:t>N₂O</w:t>
      </w:r>
      <w:r w:rsidRPr="00B14602">
        <w:rPr>
          <w:rFonts w:ascii="Times New Roman" w:eastAsia="宋体" w:hAnsi="Times New Roman"/>
          <w:sz w:val="24"/>
        </w:rPr>
        <w:t>的检测能力。腔衰荡光谱和离轴积分腔输出光谱等技术在大气高精度</w:t>
      </w:r>
      <w:r w:rsidRPr="00B14602">
        <w:rPr>
          <w:rFonts w:ascii="Times New Roman" w:eastAsia="宋体" w:hAnsi="Times New Roman"/>
          <w:sz w:val="24"/>
        </w:rPr>
        <w:t>N₂O</w:t>
      </w:r>
      <w:r w:rsidRPr="00B14602">
        <w:rPr>
          <w:rFonts w:ascii="Times New Roman" w:eastAsia="宋体" w:hAnsi="Times New Roman"/>
          <w:sz w:val="24"/>
        </w:rPr>
        <w:t>监测领域已较为成熟，但用于高温、高湿、高粉尘和复杂组分工业尾气时，仍需解决量程适配、样气预处理及长期运行稳</w:t>
      </w:r>
      <w:r w:rsidRPr="00B14602">
        <w:rPr>
          <w:rFonts w:ascii="Times New Roman" w:eastAsia="宋体" w:hAnsi="Times New Roman" w:hint="eastAsia"/>
          <w:sz w:val="24"/>
        </w:rPr>
        <w:t>定性问题。</w:t>
      </w:r>
    </w:p>
    <w:p w14:paraId="7931FB61" w14:textId="77777777"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从测量方式看，现有系统可分为直接抽取式、稀释抽取式和原位式。直接抽取式通常对采样管线和分析气室进行伴热，以避免水分冷凝及</w:t>
      </w:r>
      <w:r w:rsidRPr="00B14602">
        <w:rPr>
          <w:rFonts w:ascii="Times New Roman" w:eastAsia="宋体" w:hAnsi="Times New Roman"/>
          <w:sz w:val="24"/>
        </w:rPr>
        <w:t>N₂O</w:t>
      </w:r>
      <w:r w:rsidRPr="00B14602">
        <w:rPr>
          <w:rFonts w:ascii="Times New Roman" w:eastAsia="宋体" w:hAnsi="Times New Roman"/>
          <w:sz w:val="24"/>
        </w:rPr>
        <w:t>或共存组分在管路中的损失，能够较好地保留原始尾气组分，但对系统耐温、耐腐蚀和伴热控制能力要求较高。稀释抽取式可降低尾气湿度、粉尘及腐蚀性组分对分析仪器的影响，但稀释比的准确性和稳定性会直接影响测量结果。原位式省去了长距离样品传输过程，响应速度较快，但安装条件、光路污染、尾气温压变化及振动等因素可能影响测量稳定性，因此不同技术路线需要根据行业工艺特点、尾气条件和监测量程合理选择。</w:t>
      </w:r>
    </w:p>
    <w:p w14:paraId="0D85AE54" w14:textId="6013681B"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工业尾气成分复杂，是影响</w:t>
      </w:r>
      <w:r w:rsidRPr="00B14602">
        <w:rPr>
          <w:rFonts w:ascii="Times New Roman" w:eastAsia="宋体" w:hAnsi="Times New Roman"/>
          <w:sz w:val="24"/>
        </w:rPr>
        <w:t>N₂O</w:t>
      </w:r>
      <w:r w:rsidRPr="00B14602">
        <w:rPr>
          <w:rFonts w:ascii="Times New Roman" w:eastAsia="宋体" w:hAnsi="Times New Roman"/>
          <w:sz w:val="24"/>
        </w:rPr>
        <w:t>连续测量准确性的主要因素。硝酸、己二酸和己内酰胺等装置尾气中可能含有较高浓度的水蒸气、</w:t>
      </w:r>
      <w:r w:rsidRPr="00B14602">
        <w:rPr>
          <w:rFonts w:ascii="Times New Roman" w:eastAsia="宋体" w:hAnsi="Times New Roman"/>
          <w:sz w:val="24"/>
        </w:rPr>
        <w:t>CO₂</w:t>
      </w:r>
      <w:r w:rsidRPr="00B14602">
        <w:rPr>
          <w:rFonts w:ascii="Times New Roman" w:eastAsia="宋体" w:hAnsi="Times New Roman"/>
          <w:sz w:val="24"/>
        </w:rPr>
        <w:t>、</w:t>
      </w:r>
      <w:r w:rsidRPr="00B14602">
        <w:rPr>
          <w:rFonts w:ascii="Times New Roman" w:eastAsia="宋体" w:hAnsi="Times New Roman"/>
          <w:sz w:val="24"/>
        </w:rPr>
        <w:t>CO</w:t>
      </w:r>
      <w:r w:rsidRPr="00B14602">
        <w:rPr>
          <w:rFonts w:ascii="Times New Roman" w:eastAsia="宋体" w:hAnsi="Times New Roman"/>
          <w:sz w:val="24"/>
        </w:rPr>
        <w:t>、</w:t>
      </w:r>
      <w:r w:rsidRPr="00B14602">
        <w:rPr>
          <w:rFonts w:ascii="Times New Roman" w:eastAsia="宋体" w:hAnsi="Times New Roman"/>
          <w:sz w:val="24"/>
        </w:rPr>
        <w:t>NO</w:t>
      </w:r>
      <w:r w:rsidRPr="00B14602">
        <w:rPr>
          <w:rFonts w:ascii="Times New Roman" w:eastAsia="宋体" w:hAnsi="Times New Roman"/>
          <w:sz w:val="24"/>
        </w:rPr>
        <w:t>、</w:t>
      </w:r>
      <w:r w:rsidRPr="00B14602">
        <w:rPr>
          <w:rFonts w:ascii="Times New Roman" w:eastAsia="宋体" w:hAnsi="Times New Roman"/>
          <w:sz w:val="24"/>
        </w:rPr>
        <w:t>NO₂</w:t>
      </w:r>
      <w:r w:rsidR="00752682">
        <w:rPr>
          <w:rFonts w:ascii="Times New Roman" w:eastAsia="宋体" w:hAnsi="Times New Roman" w:hint="eastAsia"/>
          <w:sz w:val="24"/>
        </w:rPr>
        <w:t>或</w:t>
      </w:r>
      <w:r w:rsidRPr="00B14602">
        <w:rPr>
          <w:rFonts w:ascii="Times New Roman" w:eastAsia="宋体" w:hAnsi="Times New Roman"/>
          <w:sz w:val="24"/>
        </w:rPr>
        <w:lastRenderedPageBreak/>
        <w:t>NH₃</w:t>
      </w:r>
      <w:r w:rsidRPr="00B14602">
        <w:rPr>
          <w:rFonts w:ascii="Times New Roman" w:eastAsia="宋体" w:hAnsi="Times New Roman"/>
          <w:sz w:val="24"/>
        </w:rPr>
        <w:t>，其红外吸收谱带可能与</w:t>
      </w:r>
      <w:r w:rsidRPr="00B14602">
        <w:rPr>
          <w:rFonts w:ascii="Times New Roman" w:eastAsia="宋体" w:hAnsi="Times New Roman"/>
          <w:sz w:val="24"/>
        </w:rPr>
        <w:t>N₂O</w:t>
      </w:r>
      <w:r w:rsidRPr="00B14602">
        <w:rPr>
          <w:rFonts w:ascii="Times New Roman" w:eastAsia="宋体" w:hAnsi="Times New Roman"/>
          <w:sz w:val="24"/>
        </w:rPr>
        <w:t>测量波段发生重叠；尾气温度、压力及湿度变化还会改变吸收谱线的强度和展宽特征。因此，系统不仅需要进行零点和量程校准，还应开展示值误差、重复性、响应时间、漂移、线性、交叉干扰和环境适应性等性能测试，并通过光谱补偿、温压修正、湿度修正和标准气体校准等方式控制测量误差。长期运行过程中，还需重点防范探头堵塞、过滤器失效、管路泄漏、冷凝</w:t>
      </w:r>
      <w:r w:rsidRPr="00B14602">
        <w:rPr>
          <w:rFonts w:ascii="Times New Roman" w:eastAsia="宋体" w:hAnsi="Times New Roman" w:hint="eastAsia"/>
          <w:sz w:val="24"/>
        </w:rPr>
        <w:t>水产生及分析仪器漂移等问题。</w:t>
      </w:r>
    </w:p>
    <w:p w14:paraId="1D26A475" w14:textId="5C7D8A2E" w:rsidR="00D41BB6"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总体来看，</w:t>
      </w:r>
      <w:r w:rsidRPr="00B14602">
        <w:rPr>
          <w:rFonts w:ascii="Times New Roman" w:eastAsia="宋体" w:hAnsi="Times New Roman"/>
          <w:sz w:val="24"/>
        </w:rPr>
        <w:t>N₂O</w:t>
      </w:r>
      <w:r w:rsidRPr="00B14602">
        <w:rPr>
          <w:rFonts w:ascii="Times New Roman" w:eastAsia="宋体" w:hAnsi="Times New Roman"/>
          <w:sz w:val="24"/>
        </w:rPr>
        <w:t>连续直接测量所需的红外分析、激光光谱、尾气参数测量和数据采集技术已具备一定应用基础，但国内工业领域尚处于由科研测试、项目示范向规范化自动监测过渡的阶段。不同设备在测量原理、系统配置、量程范围、数据修正和质量控制方式等方面尚未形成统一要求，监测数据的准确性、连续性和可比性仍有提升空间。生态环境部发布的《工业领域氧化亚氮排放控制行动方案》已明确提出研究制定</w:t>
      </w:r>
      <w:r w:rsidRPr="00B14602">
        <w:rPr>
          <w:rFonts w:ascii="Times New Roman" w:eastAsia="宋体" w:hAnsi="Times New Roman"/>
          <w:sz w:val="24"/>
        </w:rPr>
        <w:t>N₂O</w:t>
      </w:r>
      <w:r w:rsidRPr="00B14602">
        <w:rPr>
          <w:rFonts w:ascii="Times New Roman" w:eastAsia="宋体" w:hAnsi="Times New Roman"/>
          <w:sz w:val="24"/>
        </w:rPr>
        <w:t>监测标准、探索开展排放源自动监测并加强数据质量管理，表明建立统一的连续直接测量系统技术规范已成为完善工业</w:t>
      </w:r>
      <w:r w:rsidRPr="00B14602">
        <w:rPr>
          <w:rFonts w:ascii="Times New Roman" w:eastAsia="宋体" w:hAnsi="Times New Roman"/>
          <w:sz w:val="24"/>
        </w:rPr>
        <w:t>N₂O</w:t>
      </w:r>
      <w:r w:rsidRPr="00B14602">
        <w:rPr>
          <w:rFonts w:ascii="Times New Roman" w:eastAsia="宋体" w:hAnsi="Times New Roman"/>
          <w:sz w:val="24"/>
        </w:rPr>
        <w:t>监测、报告和核查体系的重要</w:t>
      </w:r>
      <w:r w:rsidRPr="00B14602">
        <w:rPr>
          <w:rFonts w:ascii="Times New Roman" w:eastAsia="宋体" w:hAnsi="Times New Roman" w:hint="eastAsia"/>
          <w:sz w:val="24"/>
        </w:rPr>
        <w:t>基础。</w:t>
      </w:r>
    </w:p>
    <w:p w14:paraId="6E7FEAA7" w14:textId="77777777" w:rsidR="00D41BB6" w:rsidRDefault="00000000">
      <w:pPr>
        <w:pStyle w:val="1"/>
        <w:spacing w:before="156" w:after="156"/>
      </w:pPr>
      <w:r>
        <w:rPr>
          <w:rFonts w:hint="eastAsia"/>
        </w:rPr>
        <w:t>标准编制的基本原则和技术路线</w:t>
      </w:r>
    </w:p>
    <w:p w14:paraId="3C59F3D1" w14:textId="77777777" w:rsidR="00D41BB6" w:rsidRDefault="00000000">
      <w:pPr>
        <w:pStyle w:val="2"/>
        <w:spacing w:before="156" w:after="156"/>
      </w:pPr>
      <w:r>
        <w:rPr>
          <w:rFonts w:hint="eastAsia"/>
        </w:rPr>
        <w:t>标准编制的基本原则</w:t>
      </w:r>
    </w:p>
    <w:p w14:paraId="01CE1320" w14:textId="77777777" w:rsidR="00B14602" w:rsidRPr="00B14602"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本标准编制遵循科学性、先进性、一致性、可操作性和适用性原则，文件结构与条文编写按照</w:t>
      </w:r>
      <w:r w:rsidRPr="00B14602">
        <w:rPr>
          <w:rFonts w:ascii="Times New Roman" w:eastAsia="宋体" w:hAnsi="Times New Roman"/>
          <w:sz w:val="24"/>
        </w:rPr>
        <w:t>GB/T 1.1—2020</w:t>
      </w:r>
      <w:r w:rsidRPr="00B14602">
        <w:rPr>
          <w:rFonts w:ascii="Times New Roman" w:eastAsia="宋体" w:hAnsi="Times New Roman"/>
          <w:sz w:val="24"/>
        </w:rPr>
        <w:t>《标准化工作导则</w:t>
      </w:r>
      <w:r w:rsidRPr="00B14602">
        <w:rPr>
          <w:rFonts w:ascii="Times New Roman" w:eastAsia="宋体" w:hAnsi="Times New Roman"/>
          <w:sz w:val="24"/>
        </w:rPr>
        <w:t xml:space="preserve"> </w:t>
      </w:r>
      <w:r w:rsidRPr="00B14602">
        <w:rPr>
          <w:rFonts w:ascii="Times New Roman" w:eastAsia="宋体" w:hAnsi="Times New Roman"/>
          <w:sz w:val="24"/>
        </w:rPr>
        <w:t>第</w:t>
      </w:r>
      <w:r w:rsidRPr="00B14602">
        <w:rPr>
          <w:rFonts w:ascii="Times New Roman" w:eastAsia="宋体" w:hAnsi="Times New Roman"/>
          <w:sz w:val="24"/>
        </w:rPr>
        <w:t>1</w:t>
      </w:r>
      <w:r w:rsidRPr="00B14602">
        <w:rPr>
          <w:rFonts w:ascii="Times New Roman" w:eastAsia="宋体" w:hAnsi="Times New Roman"/>
          <w:sz w:val="24"/>
        </w:rPr>
        <w:t>部分：标准化文件的结构和起草规则》等有关要求执行。编制工作符合国家现行法律法规和《工业领域氧化亚氮排放控制行动方案》等政策导向，充分衔接固定源自动测量系统质量保证、</w:t>
      </w:r>
      <w:r w:rsidRPr="00B14602">
        <w:rPr>
          <w:rFonts w:ascii="Times New Roman" w:eastAsia="宋体" w:hAnsi="Times New Roman"/>
          <w:sz w:val="24"/>
        </w:rPr>
        <w:t>N₂O</w:t>
      </w:r>
      <w:r w:rsidRPr="00B14602">
        <w:rPr>
          <w:rFonts w:ascii="Times New Roman" w:eastAsia="宋体" w:hAnsi="Times New Roman"/>
          <w:sz w:val="24"/>
        </w:rPr>
        <w:t>参比测量和连续监测系统性能评价的相关技术文件。</w:t>
      </w:r>
    </w:p>
    <w:p w14:paraId="1F2EAB6E" w14:textId="254C902D" w:rsidR="00D41BB6" w:rsidRDefault="00B14602" w:rsidP="00B14602">
      <w:pPr>
        <w:pStyle w:val="a0"/>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本标准面向硝酸、己二酸、己内酰胺等行业工业尾气</w:t>
      </w:r>
      <w:r w:rsidRPr="00B14602">
        <w:rPr>
          <w:rFonts w:ascii="Times New Roman" w:eastAsia="宋体" w:hAnsi="Times New Roman"/>
          <w:sz w:val="24"/>
        </w:rPr>
        <w:t>N₂O</w:t>
      </w:r>
      <w:r w:rsidRPr="00B14602">
        <w:rPr>
          <w:rFonts w:ascii="Times New Roman" w:eastAsia="宋体" w:hAnsi="Times New Roman"/>
          <w:sz w:val="24"/>
        </w:rPr>
        <w:t>排放连续直接测量，充分考虑不同行业生产工艺、尾气组分、浓度跨度、湿度、腐蚀性和现场环境差异，兼顾直接抽取、稀释抽取和直接测量等技术路线。标准对系统组成、样品完整性、预处理系统回收率、经验证测量范围、量程切换、校准与自动质控、实验室和现场性能检测、运行质量保证及数据采集处理作出规定，既避免限定具体分析原理和设备型号，又通过可检测、可判定的性能要求控制测量质量，体现</w:t>
      </w:r>
      <w:r w:rsidRPr="00B14602">
        <w:rPr>
          <w:rFonts w:ascii="Times New Roman" w:eastAsia="宋体" w:hAnsi="Times New Roman"/>
          <w:sz w:val="24"/>
        </w:rPr>
        <w:lastRenderedPageBreak/>
        <w:t>技术中立和结果导向</w:t>
      </w:r>
      <w:r w:rsidR="008C6067">
        <w:rPr>
          <w:rFonts w:ascii="Times New Roman" w:eastAsia="宋体" w:hAnsi="Times New Roman" w:hint="eastAsia"/>
          <w:sz w:val="24"/>
        </w:rPr>
        <w:t>。</w:t>
      </w:r>
    </w:p>
    <w:p w14:paraId="5C736AC2" w14:textId="77777777" w:rsidR="00D41BB6" w:rsidRDefault="00000000">
      <w:pPr>
        <w:pStyle w:val="2"/>
        <w:spacing w:before="156" w:after="156"/>
      </w:pPr>
      <w:r>
        <w:rPr>
          <w:rFonts w:hint="eastAsia"/>
        </w:rPr>
        <w:t>标准编制的技术路线</w:t>
      </w:r>
    </w:p>
    <w:p w14:paraId="52D37F79" w14:textId="0F5B5E5E" w:rsidR="00D41BB6" w:rsidRDefault="00B14602">
      <w:pPr>
        <w:spacing w:line="360" w:lineRule="auto"/>
        <w:ind w:firstLineChars="200" w:firstLine="480"/>
        <w:rPr>
          <w:rFonts w:ascii="Times New Roman" w:eastAsia="宋体" w:hAnsi="Times New Roman"/>
          <w:sz w:val="24"/>
        </w:rPr>
      </w:pPr>
      <w:r w:rsidRPr="00B14602">
        <w:rPr>
          <w:rFonts w:ascii="Times New Roman" w:eastAsia="宋体" w:hAnsi="Times New Roman" w:hint="eastAsia"/>
          <w:sz w:val="24"/>
        </w:rPr>
        <w:t>本标准在政策文件、国内外标准、工业尾气</w:t>
      </w:r>
      <w:r w:rsidRPr="00B14602">
        <w:rPr>
          <w:rFonts w:ascii="Times New Roman" w:eastAsia="宋体" w:hAnsi="Times New Roman"/>
          <w:sz w:val="24"/>
        </w:rPr>
        <w:t>N₂O</w:t>
      </w:r>
      <w:r w:rsidRPr="00B14602">
        <w:rPr>
          <w:rFonts w:ascii="Times New Roman" w:eastAsia="宋体" w:hAnsi="Times New Roman"/>
          <w:sz w:val="24"/>
        </w:rPr>
        <w:t>排放特征、典型监测设备及应用情况调研的基础上，识别影响连续直接测量质量的关键环节，重点围绕样品采集与传输、预处理、气体分析、量程适配、尾气参数测量、校准质控、数据处理和现场运行建立技术框架；通过实验室性能检测与现场检测相结合的方式，对分析仪器、预处理系统、量程切换单元、自动质控单元及整套系统进行评价，并形成征求意见稿。标准编制技术路线如下图</w:t>
      </w:r>
      <w:r>
        <w:rPr>
          <w:rFonts w:ascii="Times New Roman" w:eastAsia="宋体" w:hAnsi="Times New Roman" w:hint="eastAsia"/>
          <w:sz w:val="24"/>
        </w:rPr>
        <w:t>。</w:t>
      </w:r>
    </w:p>
    <w:p w14:paraId="16CE2D7C" w14:textId="74843F30" w:rsidR="00D41BB6" w:rsidRDefault="00374A7F">
      <w:pPr>
        <w:pStyle w:val="a0"/>
        <w:jc w:val="center"/>
        <w:rPr>
          <w:rFonts w:hint="eastAsia"/>
        </w:rPr>
      </w:pPr>
      <w:r>
        <w:rPr>
          <w:rFonts w:hint="eastAsia"/>
          <w:noProof/>
        </w:rPr>
        <w:drawing>
          <wp:inline distT="0" distB="0" distL="0" distR="0" wp14:anchorId="10790D13" wp14:editId="1C4583D8">
            <wp:extent cx="3710940" cy="5922828"/>
            <wp:effectExtent l="0" t="0" r="3810" b="1905"/>
            <wp:docPr id="1197707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7539" name="图片 1197707539"/>
                    <pic:cNvPicPr/>
                  </pic:nvPicPr>
                  <pic:blipFill rotWithShape="1">
                    <a:blip r:embed="rId8" cstate="print">
                      <a:extLst>
                        <a:ext uri="{28A0092B-C50C-407E-A947-70E740481C1C}">
                          <a14:useLocalDpi xmlns:a14="http://schemas.microsoft.com/office/drawing/2010/main" val="0"/>
                        </a:ext>
                      </a:extLst>
                    </a:blip>
                    <a:srcRect l="37708" t="1194" r="11149" b="14445"/>
                    <a:stretch>
                      <a:fillRect/>
                    </a:stretch>
                  </pic:blipFill>
                  <pic:spPr bwMode="auto">
                    <a:xfrm>
                      <a:off x="0" y="0"/>
                      <a:ext cx="3712676" cy="5925599"/>
                    </a:xfrm>
                    <a:prstGeom prst="rect">
                      <a:avLst/>
                    </a:prstGeom>
                    <a:ln>
                      <a:noFill/>
                    </a:ln>
                    <a:extLst>
                      <a:ext uri="{53640926-AAD7-44D8-BBD7-CCE9431645EC}">
                        <a14:shadowObscured xmlns:a14="http://schemas.microsoft.com/office/drawing/2010/main"/>
                      </a:ext>
                    </a:extLst>
                  </pic:spPr>
                </pic:pic>
              </a:graphicData>
            </a:graphic>
          </wp:inline>
        </w:drawing>
      </w:r>
    </w:p>
    <w:p w14:paraId="7EB3B06E" w14:textId="77777777" w:rsidR="00D41BB6" w:rsidRDefault="00000000">
      <w:pPr>
        <w:pStyle w:val="a4"/>
        <w:jc w:val="center"/>
        <w:rPr>
          <w:rFonts w:eastAsiaTheme="minorEastAsia" w:hint="eastAsia"/>
        </w:rPr>
      </w:pPr>
      <w:r>
        <w:lastRenderedPageBreak/>
        <w:t>图</w:t>
      </w:r>
      <w:r>
        <w:fldChar w:fldCharType="begin"/>
      </w:r>
      <w:r>
        <w:instrText xml:space="preserve"> SEQ </w:instrText>
      </w:r>
      <w:r>
        <w:instrText>图</w:instrText>
      </w:r>
      <w:r>
        <w:instrText xml:space="preserve"> \* ARABIC </w:instrText>
      </w:r>
      <w:r>
        <w:fldChar w:fldCharType="separate"/>
      </w:r>
      <w:r>
        <w:t>1</w:t>
      </w:r>
      <w:r>
        <w:fldChar w:fldCharType="end"/>
      </w:r>
      <w:r>
        <w:rPr>
          <w:rFonts w:hint="eastAsia"/>
        </w:rPr>
        <w:t>技术路线图</w:t>
      </w:r>
    </w:p>
    <w:p w14:paraId="4E84699D" w14:textId="77777777" w:rsidR="00D41BB6" w:rsidRDefault="00D41BB6">
      <w:pPr>
        <w:rPr>
          <w:rFonts w:hint="eastAsia"/>
        </w:rPr>
      </w:pPr>
    </w:p>
    <w:p w14:paraId="48D49D67" w14:textId="77777777" w:rsidR="00D41BB6" w:rsidRDefault="00000000">
      <w:pPr>
        <w:pStyle w:val="1"/>
        <w:spacing w:before="156" w:after="156"/>
      </w:pPr>
      <w:r>
        <w:rPr>
          <w:rFonts w:hint="eastAsia"/>
        </w:rPr>
        <w:t>标准主要编制内容和编制说明</w:t>
      </w:r>
    </w:p>
    <w:p w14:paraId="1FA74B71" w14:textId="77777777" w:rsidR="00D41BB6" w:rsidRDefault="00000000">
      <w:pPr>
        <w:pStyle w:val="2"/>
        <w:spacing w:before="156" w:after="156"/>
      </w:pPr>
      <w:r>
        <w:rPr>
          <w:rFonts w:hint="eastAsia"/>
        </w:rPr>
        <w:t>适用范围</w:t>
      </w:r>
    </w:p>
    <w:p w14:paraId="376AF80A" w14:textId="77777777" w:rsidR="00374A7F" w:rsidRPr="00374A7F" w:rsidRDefault="00374A7F" w:rsidP="00374A7F">
      <w:pPr>
        <w:spacing w:line="360" w:lineRule="auto"/>
        <w:ind w:firstLineChars="200" w:firstLine="480"/>
        <w:rPr>
          <w:rFonts w:ascii="Times New Roman" w:eastAsia="宋体" w:hAnsi="Times New Roman"/>
          <w:sz w:val="24"/>
        </w:rPr>
      </w:pPr>
      <w:r w:rsidRPr="00374A7F">
        <w:rPr>
          <w:rFonts w:ascii="Times New Roman" w:eastAsia="宋体" w:hAnsi="Times New Roman" w:hint="eastAsia"/>
          <w:sz w:val="24"/>
        </w:rPr>
        <w:t>本文件规定了硝酸、己二酸和己内酰胺等工业生产过程中尾气氧化亚氮（</w:t>
      </w:r>
      <w:r w:rsidRPr="00374A7F">
        <w:rPr>
          <w:rFonts w:ascii="Times New Roman" w:eastAsia="宋体" w:hAnsi="Times New Roman" w:hint="eastAsia"/>
          <w:sz w:val="24"/>
        </w:rPr>
        <w:t>N</w:t>
      </w:r>
      <w:r w:rsidRPr="00374A7F">
        <w:rPr>
          <w:rFonts w:ascii="Times New Roman" w:eastAsia="宋体" w:hAnsi="Times New Roman" w:hint="eastAsia"/>
          <w:sz w:val="24"/>
          <w:vertAlign w:val="subscript"/>
        </w:rPr>
        <w:t>2</w:t>
      </w:r>
      <w:r w:rsidRPr="00374A7F">
        <w:rPr>
          <w:rFonts w:ascii="Times New Roman" w:eastAsia="宋体" w:hAnsi="Times New Roman" w:hint="eastAsia"/>
          <w:sz w:val="24"/>
        </w:rPr>
        <w:t>O</w:t>
      </w:r>
      <w:r w:rsidRPr="00374A7F">
        <w:rPr>
          <w:rFonts w:ascii="Times New Roman" w:eastAsia="宋体" w:hAnsi="Times New Roman" w:hint="eastAsia"/>
          <w:sz w:val="24"/>
        </w:rPr>
        <w:t>）排放连续直接测量系统的组成结构、技术要求、性能指标和检测方法。</w:t>
      </w:r>
    </w:p>
    <w:p w14:paraId="2E2538A5" w14:textId="1DBA7B84" w:rsidR="00D41BB6" w:rsidRDefault="00374A7F" w:rsidP="00374A7F">
      <w:pPr>
        <w:spacing w:line="360" w:lineRule="auto"/>
        <w:ind w:firstLineChars="200" w:firstLine="480"/>
        <w:rPr>
          <w:rFonts w:ascii="Times New Roman" w:eastAsia="宋体" w:hAnsi="Times New Roman"/>
          <w:sz w:val="24"/>
        </w:rPr>
      </w:pPr>
      <w:r w:rsidRPr="00374A7F">
        <w:rPr>
          <w:rFonts w:ascii="Times New Roman" w:eastAsia="宋体" w:hAnsi="Times New Roman" w:hint="eastAsia"/>
          <w:sz w:val="24"/>
        </w:rPr>
        <w:t>本文件适用于工业尾气氧化亚氮（</w:t>
      </w:r>
      <w:r w:rsidRPr="00374A7F">
        <w:rPr>
          <w:rFonts w:ascii="Times New Roman" w:eastAsia="宋体" w:hAnsi="Times New Roman" w:hint="eastAsia"/>
          <w:sz w:val="24"/>
        </w:rPr>
        <w:t>N</w:t>
      </w:r>
      <w:r w:rsidRPr="00374A7F">
        <w:rPr>
          <w:rFonts w:ascii="Times New Roman" w:eastAsia="宋体" w:hAnsi="Times New Roman" w:hint="eastAsia"/>
          <w:sz w:val="24"/>
          <w:vertAlign w:val="subscript"/>
        </w:rPr>
        <w:t>2</w:t>
      </w:r>
      <w:r w:rsidRPr="00374A7F">
        <w:rPr>
          <w:rFonts w:ascii="Times New Roman" w:eastAsia="宋体" w:hAnsi="Times New Roman" w:hint="eastAsia"/>
          <w:sz w:val="24"/>
        </w:rPr>
        <w:t>O</w:t>
      </w:r>
      <w:r w:rsidRPr="00374A7F">
        <w:rPr>
          <w:rFonts w:ascii="Times New Roman" w:eastAsia="宋体" w:hAnsi="Times New Roman" w:hint="eastAsia"/>
          <w:sz w:val="24"/>
        </w:rPr>
        <w:t>）连续直接测量系统的设计、生产和检测</w:t>
      </w:r>
      <w:r>
        <w:rPr>
          <w:rFonts w:ascii="Times New Roman" w:eastAsia="宋体" w:hAnsi="Times New Roman" w:hint="eastAsia"/>
          <w:sz w:val="24"/>
        </w:rPr>
        <w:t>。</w:t>
      </w:r>
    </w:p>
    <w:p w14:paraId="64FAE496" w14:textId="77777777" w:rsidR="00D41BB6" w:rsidRDefault="00000000">
      <w:pPr>
        <w:pStyle w:val="2"/>
        <w:spacing w:before="156" w:after="156"/>
      </w:pPr>
      <w:r>
        <w:rPr>
          <w:rFonts w:hint="eastAsia"/>
        </w:rPr>
        <w:t>术语和定义</w:t>
      </w:r>
    </w:p>
    <w:p w14:paraId="082035BF" w14:textId="00AEC64D" w:rsidR="00D41BB6" w:rsidRDefault="003821C5">
      <w:pPr>
        <w:spacing w:line="360" w:lineRule="auto"/>
        <w:ind w:firstLineChars="200" w:firstLine="480"/>
        <w:rPr>
          <w:rFonts w:ascii="Times New Roman" w:eastAsia="宋体" w:hAnsi="Times New Roman"/>
          <w:sz w:val="24"/>
        </w:rPr>
      </w:pPr>
      <w:r w:rsidRPr="003821C5">
        <w:rPr>
          <w:rFonts w:ascii="Times New Roman" w:eastAsia="宋体" w:hAnsi="Times New Roman"/>
          <w:sz w:val="24"/>
        </w:rPr>
        <w:t>本标准参照相关温室气体监测标准、固定污染源自动监测技术规范及《硝酸行业氧化亚氮减排技术规范》（</w:t>
      </w:r>
      <w:r w:rsidRPr="003821C5">
        <w:rPr>
          <w:rFonts w:ascii="Times New Roman" w:eastAsia="宋体" w:hAnsi="Times New Roman"/>
          <w:sz w:val="24"/>
        </w:rPr>
        <w:t>HG/T 6348</w:t>
      </w:r>
      <w:r w:rsidRPr="003821C5">
        <w:rPr>
          <w:rFonts w:ascii="Times New Roman" w:eastAsia="宋体" w:hAnsi="Times New Roman"/>
          <w:sz w:val="24"/>
        </w:rPr>
        <w:t>）等文件中的术语和定义，并结合工业尾气氧化亚氮连续直接测量的技术特点，</w:t>
      </w:r>
      <w:r w:rsidR="00114337">
        <w:rPr>
          <w:rFonts w:ascii="Times New Roman" w:eastAsia="宋体" w:hAnsi="Times New Roman"/>
        </w:rPr>
        <w:t>规定了工业尾气氧化亚氮、氧化亚氮排放连续直接测量系统、全系统校准、量程切换、经验证测量范围、量程和预处理系统回收率等术语。增加</w:t>
      </w:r>
      <w:r w:rsidR="0051390D">
        <w:rPr>
          <w:rFonts w:ascii="Times New Roman" w:eastAsia="宋体" w:hAnsi="Times New Roman" w:hint="eastAsia"/>
        </w:rPr>
        <w:t>“</w:t>
      </w:r>
      <w:r w:rsidR="00114337">
        <w:rPr>
          <w:rFonts w:ascii="Times New Roman" w:eastAsia="宋体" w:hAnsi="Times New Roman"/>
        </w:rPr>
        <w:t>全系统校准</w:t>
      </w:r>
      <w:r w:rsidR="0051390D">
        <w:rPr>
          <w:rFonts w:ascii="Times New Roman" w:eastAsia="宋体" w:hAnsi="Times New Roman" w:hint="eastAsia"/>
        </w:rPr>
        <w:t>”</w:t>
      </w:r>
      <w:r w:rsidR="00114337">
        <w:rPr>
          <w:rFonts w:ascii="Times New Roman" w:eastAsia="宋体" w:hAnsi="Times New Roman"/>
        </w:rPr>
        <w:t>，用于明确零气或标准气体应经过采样、传输、预处理、量程切换和分析等与样气相同的测量路径；增加</w:t>
      </w:r>
      <w:r w:rsidR="0051390D">
        <w:rPr>
          <w:rFonts w:ascii="Times New Roman" w:eastAsia="宋体" w:hAnsi="Times New Roman" w:hint="eastAsia"/>
        </w:rPr>
        <w:t>“</w:t>
      </w:r>
      <w:r w:rsidR="00114337">
        <w:rPr>
          <w:rFonts w:ascii="Times New Roman" w:eastAsia="宋体" w:hAnsi="Times New Roman"/>
        </w:rPr>
        <w:t>经验证测量范围</w:t>
      </w:r>
      <w:r w:rsidR="0051390D">
        <w:rPr>
          <w:rFonts w:ascii="Times New Roman" w:eastAsia="宋体" w:hAnsi="Times New Roman" w:hint="eastAsia"/>
        </w:rPr>
        <w:t>”</w:t>
      </w:r>
      <w:r w:rsidR="00114337">
        <w:rPr>
          <w:rFonts w:ascii="Times New Roman" w:eastAsia="宋体" w:hAnsi="Times New Roman"/>
        </w:rPr>
        <w:t>和</w:t>
      </w:r>
      <w:r w:rsidR="0051390D">
        <w:rPr>
          <w:rFonts w:ascii="Times New Roman" w:eastAsia="宋体" w:hAnsi="Times New Roman" w:hint="eastAsia"/>
        </w:rPr>
        <w:t>“</w:t>
      </w:r>
      <w:r w:rsidR="00114337">
        <w:rPr>
          <w:rFonts w:ascii="Times New Roman" w:eastAsia="宋体" w:hAnsi="Times New Roman"/>
        </w:rPr>
        <w:t>量程</w:t>
      </w:r>
      <w:r w:rsidR="0051390D">
        <w:rPr>
          <w:rFonts w:ascii="Times New Roman" w:eastAsia="宋体" w:hAnsi="Times New Roman" w:hint="eastAsia"/>
        </w:rPr>
        <w:t>”</w:t>
      </w:r>
      <w:r w:rsidR="00114337">
        <w:rPr>
          <w:rFonts w:ascii="Times New Roman" w:eastAsia="宋体" w:hAnsi="Times New Roman"/>
        </w:rPr>
        <w:t>，用于区分测量范围上下限、量程及不同测量配置对应的有效测量区间；增加</w:t>
      </w:r>
      <w:r w:rsidR="0051390D">
        <w:rPr>
          <w:rFonts w:ascii="Times New Roman" w:eastAsia="宋体" w:hAnsi="Times New Roman" w:hint="eastAsia"/>
        </w:rPr>
        <w:t>“</w:t>
      </w:r>
      <w:r w:rsidR="00114337">
        <w:rPr>
          <w:rFonts w:ascii="Times New Roman" w:eastAsia="宋体" w:hAnsi="Times New Roman"/>
        </w:rPr>
        <w:t>预处理系统回收率</w:t>
      </w:r>
      <w:r w:rsidR="0051390D">
        <w:rPr>
          <w:rFonts w:ascii="Times New Roman" w:eastAsia="宋体" w:hAnsi="Times New Roman" w:hint="eastAsia"/>
        </w:rPr>
        <w:t>”</w:t>
      </w:r>
      <w:r w:rsidR="00114337">
        <w:rPr>
          <w:rFonts w:ascii="Times New Roman" w:eastAsia="宋体" w:hAnsi="Times New Roman"/>
        </w:rPr>
        <w:t>，用于评价过滤、除湿、传输等预处理环节对</w:t>
      </w:r>
      <w:r w:rsidR="00114337">
        <w:rPr>
          <w:rFonts w:ascii="Times New Roman" w:eastAsia="宋体" w:hAnsi="Times New Roman"/>
        </w:rPr>
        <w:t>N₂O</w:t>
      </w:r>
      <w:r w:rsidR="00114337">
        <w:rPr>
          <w:rFonts w:ascii="Times New Roman" w:eastAsia="宋体" w:hAnsi="Times New Roman"/>
        </w:rPr>
        <w:t>测量结果的综合影响。上述术语为宽浓度范围测量、性能试验、校准质控及数据处理提供统一概念基础</w:t>
      </w:r>
      <w:r>
        <w:rPr>
          <w:rFonts w:ascii="Times New Roman" w:eastAsia="宋体" w:hAnsi="Times New Roman" w:hint="eastAsia"/>
          <w:sz w:val="24"/>
        </w:rPr>
        <w:t>。</w:t>
      </w:r>
    </w:p>
    <w:p w14:paraId="56BA9F66" w14:textId="79C80818" w:rsidR="00D41BB6" w:rsidRDefault="0067350D">
      <w:pPr>
        <w:pStyle w:val="2"/>
        <w:spacing w:before="156" w:after="156"/>
      </w:pPr>
      <w:r w:rsidRPr="0067350D">
        <w:rPr>
          <w:rFonts w:hint="eastAsia"/>
        </w:rPr>
        <w:t>系统的组成和</w:t>
      </w:r>
      <w:r>
        <w:rPr>
          <w:rFonts w:hint="eastAsia"/>
        </w:rPr>
        <w:t>结构</w:t>
      </w:r>
    </w:p>
    <w:p w14:paraId="5082030A" w14:textId="78A6C44A" w:rsidR="00D41BB6" w:rsidRDefault="00F9177E">
      <w:pPr>
        <w:spacing w:line="360" w:lineRule="auto"/>
        <w:ind w:firstLineChars="200" w:firstLine="480"/>
        <w:rPr>
          <w:rFonts w:ascii="Times New Roman" w:eastAsia="宋体" w:hAnsi="Times New Roman"/>
          <w:sz w:val="24"/>
        </w:rPr>
      </w:pPr>
      <w:r w:rsidRPr="00F9177E">
        <w:rPr>
          <w:rFonts w:ascii="Times New Roman" w:eastAsia="宋体" w:hAnsi="Times New Roman" w:hint="eastAsia"/>
          <w:sz w:val="24"/>
        </w:rPr>
        <w:t>此</w:t>
      </w:r>
      <w:r w:rsidR="00D97C63" w:rsidRPr="00D97C63">
        <w:rPr>
          <w:rFonts w:ascii="Times New Roman" w:eastAsia="宋体" w:hAnsi="Times New Roman" w:hint="eastAsia"/>
          <w:sz w:val="24"/>
        </w:rPr>
        <w:t>部分规定了工业尾气氧化亚氮排放连续直接测量系统的组成和基本结构。系统由氧化亚氮监测单元、尾气参数监测单元、大气压力监测单元、数据采集与处理单元和氧化亚氮自动质控单元组成；根据测量范围需要，可配置量程切换单元。系统用于连续测量</w:t>
      </w:r>
      <w:r w:rsidR="00D97C63" w:rsidRPr="00D97C63">
        <w:rPr>
          <w:rFonts w:ascii="Times New Roman" w:eastAsia="宋体" w:hAnsi="Times New Roman"/>
          <w:sz w:val="24"/>
        </w:rPr>
        <w:t>N₂O</w:t>
      </w:r>
      <w:r w:rsidR="00D97C63" w:rsidRPr="00D97C63">
        <w:rPr>
          <w:rFonts w:ascii="Times New Roman" w:eastAsia="宋体" w:hAnsi="Times New Roman"/>
          <w:sz w:val="24"/>
        </w:rPr>
        <w:t>浓度以及尾气温度、压力、流速或流量、湿度等参数，计算排放速率和排放量，并记录、显示和传输监测数据及设备状态。根据测量方式和原理不同，系统可由样品采集和传输装置、预处理设备、分析仪器、自动质控设备、量程切换设备及相关辅助设备构成。通过明确各单元功能及信号、</w:t>
      </w:r>
      <w:r w:rsidR="00D97C63" w:rsidRPr="00D97C63">
        <w:rPr>
          <w:rFonts w:ascii="Times New Roman" w:eastAsia="宋体" w:hAnsi="Times New Roman"/>
          <w:sz w:val="24"/>
        </w:rPr>
        <w:lastRenderedPageBreak/>
        <w:t>气路关系，为不同技术路线系统</w:t>
      </w:r>
      <w:r w:rsidR="00D97C63" w:rsidRPr="00D97C63">
        <w:rPr>
          <w:rFonts w:ascii="Times New Roman" w:eastAsia="宋体" w:hAnsi="Times New Roman" w:hint="eastAsia"/>
          <w:sz w:val="24"/>
        </w:rPr>
        <w:t>的设计、集成和性能评价提供统一结构基础</w:t>
      </w:r>
      <w:r>
        <w:rPr>
          <w:rFonts w:ascii="Times New Roman" w:eastAsia="宋体" w:hAnsi="Times New Roman" w:hint="eastAsia"/>
          <w:sz w:val="24"/>
        </w:rPr>
        <w:t>。</w:t>
      </w:r>
    </w:p>
    <w:p w14:paraId="26BB818F" w14:textId="19B7C598" w:rsidR="00D41BB6" w:rsidRDefault="00F9177E">
      <w:pPr>
        <w:pStyle w:val="2"/>
        <w:spacing w:before="156" w:after="156"/>
      </w:pPr>
      <w:r>
        <w:rPr>
          <w:rFonts w:hint="eastAsia"/>
        </w:rPr>
        <w:t>技术要求</w:t>
      </w:r>
    </w:p>
    <w:p w14:paraId="2444C73C" w14:textId="77777777" w:rsidR="00D97C63" w:rsidRPr="00D97C63" w:rsidRDefault="00D97C63" w:rsidP="00D97C63">
      <w:pPr>
        <w:spacing w:line="360" w:lineRule="auto"/>
        <w:ind w:firstLineChars="200" w:firstLine="480"/>
        <w:rPr>
          <w:rFonts w:ascii="Times New Roman" w:eastAsia="宋体" w:hAnsi="Times New Roman"/>
          <w:sz w:val="24"/>
        </w:rPr>
      </w:pPr>
      <w:r w:rsidRPr="00D97C63">
        <w:rPr>
          <w:rFonts w:ascii="Times New Roman" w:eastAsia="宋体" w:hAnsi="Times New Roman" w:hint="eastAsia"/>
          <w:sz w:val="24"/>
        </w:rPr>
        <w:t>本部分规定了系统外观、工作条件、安全性能和功能配置要求。针对工业尾气高温、高湿、腐蚀性和组分复杂等特点，要求采样探头和伴热管线的设定温度不低于</w:t>
      </w:r>
      <w:r w:rsidRPr="00D97C63">
        <w:rPr>
          <w:rFonts w:ascii="Times New Roman" w:eastAsia="宋体" w:hAnsi="Times New Roman"/>
          <w:sz w:val="24"/>
        </w:rPr>
        <w:t>120 ℃</w:t>
      </w:r>
      <w:r w:rsidRPr="00D97C63">
        <w:rPr>
          <w:rFonts w:ascii="Times New Roman" w:eastAsia="宋体" w:hAnsi="Times New Roman"/>
          <w:sz w:val="24"/>
        </w:rPr>
        <w:t>，并高于可能冷凝组分的最高露点至少</w:t>
      </w:r>
      <w:r w:rsidRPr="00D97C63">
        <w:rPr>
          <w:rFonts w:ascii="Times New Roman" w:eastAsia="宋体" w:hAnsi="Times New Roman"/>
          <w:sz w:val="24"/>
        </w:rPr>
        <w:t>10 ℃</w:t>
      </w:r>
      <w:r w:rsidRPr="00D97C63">
        <w:rPr>
          <w:rFonts w:ascii="Times New Roman" w:eastAsia="宋体" w:hAnsi="Times New Roman"/>
          <w:sz w:val="24"/>
        </w:rPr>
        <w:t>，以降低冷凝和组分损失风险；要求预处理系统具备过滤、除湿和流量调节等功能，除湿设备出口样气露点温度不高于</w:t>
      </w:r>
      <w:r w:rsidRPr="00D97C63">
        <w:rPr>
          <w:rFonts w:ascii="Times New Roman" w:eastAsia="宋体" w:hAnsi="Times New Roman"/>
          <w:sz w:val="24"/>
        </w:rPr>
        <w:t>4 ℃</w:t>
      </w:r>
      <w:r w:rsidRPr="00D97C63">
        <w:rPr>
          <w:rFonts w:ascii="Times New Roman" w:eastAsia="宋体" w:hAnsi="Times New Roman"/>
          <w:sz w:val="24"/>
        </w:rPr>
        <w:t>，并以预处理系统回收率评价预处理环节对</w:t>
      </w:r>
      <w:r w:rsidRPr="00D97C63">
        <w:rPr>
          <w:rFonts w:ascii="Times New Roman" w:eastAsia="宋体" w:hAnsi="Times New Roman"/>
          <w:sz w:val="24"/>
        </w:rPr>
        <w:t>N₂O</w:t>
      </w:r>
      <w:r w:rsidRPr="00D97C63">
        <w:rPr>
          <w:rFonts w:ascii="Times New Roman" w:eastAsia="宋体" w:hAnsi="Times New Roman"/>
          <w:sz w:val="24"/>
        </w:rPr>
        <w:t>的综合影响。标准同时规定抽取测量系统的全系统校准、直接测量系统的流动等效校准以及自动质控任务、记录和日志功能，使校准和核查能够覆盖完整测量链。</w:t>
      </w:r>
    </w:p>
    <w:p w14:paraId="02660626" w14:textId="652C9AF6" w:rsidR="00D41BB6" w:rsidRDefault="00D97C63" w:rsidP="00D97C63">
      <w:pPr>
        <w:spacing w:line="360" w:lineRule="auto"/>
        <w:ind w:firstLineChars="200" w:firstLine="480"/>
        <w:rPr>
          <w:rFonts w:ascii="Times New Roman" w:eastAsia="宋体" w:hAnsi="Times New Roman"/>
          <w:sz w:val="24"/>
        </w:rPr>
      </w:pPr>
      <w:r w:rsidRPr="00D97C63">
        <w:rPr>
          <w:rFonts w:ascii="Times New Roman" w:eastAsia="宋体" w:hAnsi="Times New Roman" w:hint="eastAsia"/>
          <w:sz w:val="24"/>
        </w:rPr>
        <w:t>考虑硝酸、己二酸和己内酰胺等行业</w:t>
      </w:r>
      <w:r w:rsidRPr="00D97C63">
        <w:rPr>
          <w:rFonts w:ascii="Times New Roman" w:eastAsia="宋体" w:hAnsi="Times New Roman"/>
          <w:sz w:val="24"/>
        </w:rPr>
        <w:t>N₂O</w:t>
      </w:r>
      <w:r w:rsidRPr="00D97C63">
        <w:rPr>
          <w:rFonts w:ascii="Times New Roman" w:eastAsia="宋体" w:hAnsi="Times New Roman"/>
          <w:sz w:val="24"/>
        </w:rPr>
        <w:t>浓度可能跨越多个数量级，本部分设置量程切换设备要求，允许通过分析仪量程、样气稀释比例、气室光程、气室或分析通道切换等方式扩展有效测量范围，并要求各测量配置分别确定经验证测量范围。对动态稀释配气规定实测浓度与理论浓度相对偏差在</w:t>
      </w:r>
      <w:r w:rsidRPr="00D97C63">
        <w:rPr>
          <w:rFonts w:ascii="Times New Roman" w:eastAsia="宋体" w:hAnsi="Times New Roman"/>
          <w:sz w:val="24"/>
        </w:rPr>
        <w:t>±2%</w:t>
      </w:r>
      <w:r w:rsidRPr="00D97C63">
        <w:rPr>
          <w:rFonts w:ascii="Times New Roman" w:eastAsia="宋体" w:hAnsi="Times New Roman"/>
          <w:sz w:val="24"/>
        </w:rPr>
        <w:t>范围内，对相邻测量配置规定量程切换一致性相对偏差在</w:t>
      </w:r>
      <w:r w:rsidRPr="00D97C63">
        <w:rPr>
          <w:rFonts w:ascii="Times New Roman" w:eastAsia="宋体" w:hAnsi="Times New Roman"/>
          <w:sz w:val="24"/>
        </w:rPr>
        <w:t>±5%</w:t>
      </w:r>
      <w:r w:rsidRPr="00D97C63">
        <w:rPr>
          <w:rFonts w:ascii="Times New Roman" w:eastAsia="宋体" w:hAnsi="Times New Roman"/>
          <w:sz w:val="24"/>
        </w:rPr>
        <w:t>范围内；同时要求记录量程、测量配置、稀释比、光程和切换状态。数据采集和传输设备应显示、记录实时与历史数据，并对超范围、切换未稳定及设备异常状态进行标记，以保证数据可追溯</w:t>
      </w:r>
      <w:r w:rsidR="00CC7E16">
        <w:rPr>
          <w:rFonts w:ascii="Times New Roman" w:eastAsia="宋体" w:hAnsi="Times New Roman" w:hint="eastAsia"/>
          <w:sz w:val="24"/>
        </w:rPr>
        <w:t>。</w:t>
      </w:r>
    </w:p>
    <w:p w14:paraId="1F067FF4" w14:textId="446B506B" w:rsidR="00D41BB6" w:rsidRDefault="002C3CD1">
      <w:pPr>
        <w:pStyle w:val="2"/>
        <w:spacing w:before="156" w:after="156"/>
      </w:pPr>
      <w:r>
        <w:rPr>
          <w:rFonts w:hint="eastAsia"/>
        </w:rPr>
        <w:t>性能指标</w:t>
      </w:r>
    </w:p>
    <w:p w14:paraId="57676432" w14:textId="0589F31C" w:rsidR="00D41BB6" w:rsidRDefault="00684B0F">
      <w:pPr>
        <w:spacing w:line="360" w:lineRule="auto"/>
        <w:ind w:firstLineChars="200" w:firstLine="480"/>
        <w:rPr>
          <w:rFonts w:ascii="Times New Roman" w:eastAsia="宋体" w:hAnsi="Times New Roman"/>
          <w:sz w:val="24"/>
        </w:rPr>
      </w:pPr>
      <w:r w:rsidRPr="00684B0F">
        <w:rPr>
          <w:rFonts w:ascii="Times New Roman" w:eastAsia="宋体" w:hAnsi="Times New Roman" w:hint="eastAsia"/>
          <w:sz w:val="24"/>
        </w:rPr>
        <w:t>本部分分别规定实验室检测和现场检测的性能指标。实验室指标包括仪表响应时间不超过</w:t>
      </w:r>
      <w:r w:rsidRPr="00684B0F">
        <w:rPr>
          <w:rFonts w:ascii="Times New Roman" w:eastAsia="宋体" w:hAnsi="Times New Roman"/>
          <w:sz w:val="24"/>
        </w:rPr>
        <w:t>120 s</w:t>
      </w:r>
      <w:r w:rsidRPr="00684B0F">
        <w:rPr>
          <w:rFonts w:ascii="Times New Roman" w:eastAsia="宋体" w:hAnsi="Times New Roman"/>
          <w:sz w:val="24"/>
        </w:rPr>
        <w:t>、重复性不超过</w:t>
      </w:r>
      <w:r w:rsidRPr="00684B0F">
        <w:rPr>
          <w:rFonts w:ascii="Times New Roman" w:eastAsia="宋体" w:hAnsi="Times New Roman"/>
          <w:sz w:val="24"/>
        </w:rPr>
        <w:t>2%</w:t>
      </w:r>
      <w:r w:rsidRPr="00684B0F">
        <w:rPr>
          <w:rFonts w:ascii="Times New Roman" w:eastAsia="宋体" w:hAnsi="Times New Roman"/>
          <w:sz w:val="24"/>
        </w:rPr>
        <w:t>、线性误差为相应经验证测量范围量程的</w:t>
      </w:r>
      <w:r w:rsidRPr="00684B0F">
        <w:rPr>
          <w:rFonts w:ascii="Times New Roman" w:eastAsia="宋体" w:hAnsi="Times New Roman"/>
          <w:sz w:val="24"/>
        </w:rPr>
        <w:t>±2%</w:t>
      </w:r>
      <w:r w:rsidRPr="00684B0F">
        <w:rPr>
          <w:rFonts w:ascii="Times New Roman" w:eastAsia="宋体" w:hAnsi="Times New Roman"/>
          <w:sz w:val="24"/>
        </w:rPr>
        <w:t>、</w:t>
      </w:r>
      <w:r w:rsidRPr="00684B0F">
        <w:rPr>
          <w:rFonts w:ascii="Times New Roman" w:eastAsia="宋体" w:hAnsi="Times New Roman"/>
          <w:sz w:val="24"/>
        </w:rPr>
        <w:t>24 h</w:t>
      </w:r>
      <w:r w:rsidRPr="00684B0F">
        <w:rPr>
          <w:rFonts w:ascii="Times New Roman" w:eastAsia="宋体" w:hAnsi="Times New Roman"/>
          <w:sz w:val="24"/>
        </w:rPr>
        <w:t>零点和量程漂移为</w:t>
      </w:r>
      <w:r w:rsidRPr="00684B0F">
        <w:rPr>
          <w:rFonts w:ascii="Times New Roman" w:eastAsia="宋体" w:hAnsi="Times New Roman"/>
          <w:sz w:val="24"/>
        </w:rPr>
        <w:t>±2%</w:t>
      </w:r>
      <w:r w:rsidRPr="00684B0F">
        <w:rPr>
          <w:rFonts w:ascii="Times New Roman" w:eastAsia="宋体" w:hAnsi="Times New Roman"/>
          <w:sz w:val="24"/>
        </w:rPr>
        <w:t>、一周漂移为</w:t>
      </w:r>
      <w:r w:rsidRPr="00684B0F">
        <w:rPr>
          <w:rFonts w:ascii="Times New Roman" w:eastAsia="宋体" w:hAnsi="Times New Roman"/>
          <w:sz w:val="24"/>
        </w:rPr>
        <w:t>±3%</w:t>
      </w:r>
      <w:r w:rsidRPr="00684B0F">
        <w:rPr>
          <w:rFonts w:ascii="Times New Roman" w:eastAsia="宋体" w:hAnsi="Times New Roman"/>
          <w:sz w:val="24"/>
        </w:rPr>
        <w:t>，并对环境温度、进样流量、供电电压、干扰气体和振动影响以及三台（套）仪器平行性作出要求。除分析仪器外，还规定自动质控单元流量线性误差、预处理系统</w:t>
      </w:r>
      <w:r w:rsidRPr="00684B0F">
        <w:rPr>
          <w:rFonts w:ascii="Times New Roman" w:eastAsia="宋体" w:hAnsi="Times New Roman"/>
          <w:sz w:val="24"/>
        </w:rPr>
        <w:t>N₂O</w:t>
      </w:r>
      <w:r w:rsidRPr="00684B0F">
        <w:rPr>
          <w:rFonts w:ascii="Times New Roman" w:eastAsia="宋体" w:hAnsi="Times New Roman"/>
          <w:sz w:val="24"/>
        </w:rPr>
        <w:t>回收率</w:t>
      </w:r>
      <w:r w:rsidRPr="00684B0F">
        <w:rPr>
          <w:rFonts w:ascii="Times New Roman" w:eastAsia="宋体" w:hAnsi="Times New Roman"/>
          <w:sz w:val="24"/>
        </w:rPr>
        <w:t>95%</w:t>
      </w:r>
      <w:r w:rsidRPr="00684B0F">
        <w:rPr>
          <w:rFonts w:ascii="Times New Roman" w:eastAsia="宋体" w:hAnsi="Times New Roman"/>
          <w:sz w:val="24"/>
        </w:rPr>
        <w:t>～</w:t>
      </w:r>
      <w:r w:rsidRPr="00684B0F">
        <w:rPr>
          <w:rFonts w:ascii="Times New Roman" w:eastAsia="宋体" w:hAnsi="Times New Roman"/>
          <w:sz w:val="24"/>
        </w:rPr>
        <w:t>105%</w:t>
      </w:r>
      <w:r w:rsidRPr="00684B0F">
        <w:rPr>
          <w:rFonts w:ascii="Times New Roman" w:eastAsia="宋体" w:hAnsi="Times New Roman"/>
          <w:sz w:val="24"/>
        </w:rPr>
        <w:t>、稀释准确度</w:t>
      </w:r>
      <w:r w:rsidRPr="00684B0F">
        <w:rPr>
          <w:rFonts w:ascii="Times New Roman" w:eastAsia="宋体" w:hAnsi="Times New Roman"/>
          <w:sz w:val="24"/>
        </w:rPr>
        <w:t>±2%</w:t>
      </w:r>
      <w:r w:rsidRPr="00684B0F">
        <w:rPr>
          <w:rFonts w:ascii="Times New Roman" w:eastAsia="宋体" w:hAnsi="Times New Roman"/>
          <w:sz w:val="24"/>
        </w:rPr>
        <w:t>和量程切换一致性</w:t>
      </w:r>
      <w:r w:rsidRPr="00684B0F">
        <w:rPr>
          <w:rFonts w:ascii="Times New Roman" w:eastAsia="宋体" w:hAnsi="Times New Roman"/>
          <w:sz w:val="24"/>
        </w:rPr>
        <w:t>±5%</w:t>
      </w:r>
      <w:r w:rsidRPr="00684B0F">
        <w:rPr>
          <w:rFonts w:ascii="Times New Roman" w:eastAsia="宋体" w:hAnsi="Times New Roman"/>
          <w:sz w:val="24"/>
        </w:rPr>
        <w:t>，使实验室检测覆盖完整测量链的关键环节。现场指标包括三个浓度点示值误差、系统响应时间、</w:t>
      </w:r>
      <w:r w:rsidRPr="00684B0F">
        <w:rPr>
          <w:rFonts w:ascii="Times New Roman" w:eastAsia="宋体" w:hAnsi="Times New Roman"/>
          <w:sz w:val="24"/>
        </w:rPr>
        <w:t>24 h</w:t>
      </w:r>
      <w:r w:rsidRPr="00684B0F">
        <w:rPr>
          <w:rFonts w:ascii="Times New Roman" w:eastAsia="宋体" w:hAnsi="Times New Roman"/>
          <w:sz w:val="24"/>
        </w:rPr>
        <w:t>零点和量</w:t>
      </w:r>
      <w:r w:rsidRPr="00684B0F">
        <w:rPr>
          <w:rFonts w:ascii="Times New Roman" w:eastAsia="宋体" w:hAnsi="Times New Roman" w:hint="eastAsia"/>
          <w:sz w:val="24"/>
        </w:rPr>
        <w:t>程漂移以及相对准确度；当参比方法平均值不低于相应经验证测量范围上限的</w:t>
      </w:r>
      <w:r w:rsidRPr="00684B0F">
        <w:rPr>
          <w:rFonts w:ascii="Times New Roman" w:eastAsia="宋体" w:hAnsi="Times New Roman" w:hint="eastAsia"/>
          <w:sz w:val="24"/>
        </w:rPr>
        <w:t>20%</w:t>
      </w:r>
      <w:r w:rsidRPr="00684B0F">
        <w:rPr>
          <w:rFonts w:ascii="Times New Roman" w:eastAsia="宋体" w:hAnsi="Times New Roman" w:hint="eastAsia"/>
          <w:sz w:val="24"/>
        </w:rPr>
        <w:t>时，相对准确度不超过</w:t>
      </w:r>
      <w:r w:rsidRPr="00684B0F">
        <w:rPr>
          <w:rFonts w:ascii="Times New Roman" w:eastAsia="宋体" w:hAnsi="Times New Roman" w:hint="eastAsia"/>
          <w:sz w:val="24"/>
        </w:rPr>
        <w:t>10%</w:t>
      </w:r>
      <w:r w:rsidRPr="00684B0F">
        <w:rPr>
          <w:rFonts w:ascii="Times New Roman" w:eastAsia="宋体" w:hAnsi="Times New Roman" w:hint="eastAsia"/>
          <w:sz w:val="24"/>
        </w:rPr>
        <w:t>，低于</w:t>
      </w:r>
      <w:r w:rsidRPr="00684B0F">
        <w:rPr>
          <w:rFonts w:ascii="Times New Roman" w:eastAsia="宋体" w:hAnsi="Times New Roman" w:hint="eastAsia"/>
          <w:sz w:val="24"/>
        </w:rPr>
        <w:t>20%</w:t>
      </w:r>
      <w:r w:rsidRPr="00684B0F">
        <w:rPr>
          <w:rFonts w:ascii="Times New Roman" w:eastAsia="宋体" w:hAnsi="Times New Roman" w:hint="eastAsia"/>
          <w:sz w:val="24"/>
        </w:rPr>
        <w:t>时采用相对于测量范围上限的绝对误差判定。同</w:t>
      </w:r>
      <w:r w:rsidRPr="00684B0F">
        <w:rPr>
          <w:rFonts w:ascii="Times New Roman" w:eastAsia="宋体" w:hAnsi="Times New Roman" w:hint="eastAsia"/>
          <w:sz w:val="24"/>
        </w:rPr>
        <w:lastRenderedPageBreak/>
        <w:t>时规定尾气流速、温度和湿度监测单元的测量范围、速度场系数精密度及正确度要求，为排放速率和排放量计算提供配套参数质量保证</w:t>
      </w:r>
      <w:r w:rsidR="0035618A">
        <w:rPr>
          <w:rFonts w:ascii="Times New Roman" w:eastAsia="宋体" w:hAnsi="Times New Roman"/>
          <w:sz w:val="24"/>
        </w:rPr>
        <w:t>。</w:t>
      </w:r>
    </w:p>
    <w:p w14:paraId="095A20C5" w14:textId="2A6F70A0" w:rsidR="00580E4B" w:rsidRDefault="00580E4B" w:rsidP="00580E4B">
      <w:pPr>
        <w:pStyle w:val="2"/>
        <w:spacing w:before="156" w:after="156"/>
      </w:pPr>
      <w:r>
        <w:rPr>
          <w:rFonts w:hint="eastAsia"/>
        </w:rPr>
        <w:t>检测方法</w:t>
      </w:r>
    </w:p>
    <w:p w14:paraId="61A7D166" w14:textId="39E728A7" w:rsidR="00580E4B" w:rsidRDefault="00A329F3" w:rsidP="00580E4B">
      <w:pPr>
        <w:spacing w:line="360" w:lineRule="auto"/>
        <w:ind w:firstLineChars="200" w:firstLine="480"/>
        <w:rPr>
          <w:rFonts w:ascii="Times New Roman" w:eastAsia="宋体" w:hAnsi="Times New Roman"/>
          <w:sz w:val="24"/>
        </w:rPr>
      </w:pPr>
      <w:r w:rsidRPr="00A329F3">
        <w:rPr>
          <w:rFonts w:ascii="Times New Roman" w:eastAsia="宋体" w:hAnsi="Times New Roman" w:hint="eastAsia"/>
          <w:sz w:val="24"/>
        </w:rPr>
        <w:t>本部分规定实验室检测和现场检测方法。实验室检测至少抽取</w:t>
      </w:r>
      <w:r>
        <w:rPr>
          <w:rFonts w:ascii="Times New Roman" w:eastAsia="宋体" w:hAnsi="Times New Roman" w:hint="eastAsia"/>
          <w:sz w:val="24"/>
        </w:rPr>
        <w:t>1</w:t>
      </w:r>
      <w:r w:rsidRPr="00A329F3">
        <w:rPr>
          <w:rFonts w:ascii="Times New Roman" w:eastAsia="宋体" w:hAnsi="Times New Roman" w:hint="eastAsia"/>
          <w:sz w:val="24"/>
        </w:rPr>
        <w:t>套系统，对正式使用的各经验证测量范围或测量配置分别开展适用性能试验，并在相邻测量配置重叠区开展量程切换一致性检测。除仪表响应时间、重复性、线性、漂移、环境适应性、干扰和振动等常规项目外，增加预处理系统回收率、动态稀释准确度和量程切换一致性试验，以验证样品调理和宽量程测量能力。</w:t>
      </w:r>
      <w:r w:rsidR="00D311EC" w:rsidRPr="00D311EC">
        <w:rPr>
          <w:rFonts w:ascii="Times New Roman" w:eastAsia="宋体" w:hAnsi="Times New Roman" w:hint="eastAsia"/>
          <w:sz w:val="24"/>
        </w:rPr>
        <w:t>现场检测包括初检和必要情况下的复检。系统安装调试完成并稳定运行后可开展初检；系统发生重大维修、关键部件更换、测量配置实质性变化，或相关管理要求需要重新确认性能时，可开展复检</w:t>
      </w:r>
      <w:r w:rsidRPr="00A329F3">
        <w:rPr>
          <w:rFonts w:ascii="Times New Roman" w:eastAsia="宋体" w:hAnsi="Times New Roman" w:hint="eastAsia"/>
          <w:sz w:val="24"/>
        </w:rPr>
        <w:t>。尾气流速、温度和湿度监测单元通过与参比方法同步比对进行评价。上述方法实现了实验室性能、现场整机性能和长期运行状态的衔接</w:t>
      </w:r>
      <w:r w:rsidR="00580E4B">
        <w:rPr>
          <w:rFonts w:ascii="Times New Roman" w:eastAsia="宋体" w:hAnsi="Times New Roman"/>
          <w:sz w:val="24"/>
        </w:rPr>
        <w:t>。</w:t>
      </w:r>
    </w:p>
    <w:p w14:paraId="4455EFED" w14:textId="0E6EF693" w:rsidR="008C4431" w:rsidRDefault="008C4431" w:rsidP="008C4431">
      <w:pPr>
        <w:pStyle w:val="2"/>
        <w:spacing w:before="156" w:after="156"/>
      </w:pPr>
      <w:r>
        <w:rPr>
          <w:rFonts w:hint="eastAsia"/>
        </w:rPr>
        <w:t>质量保证</w:t>
      </w:r>
    </w:p>
    <w:p w14:paraId="2FE23D9A" w14:textId="0943D244" w:rsidR="008C4431" w:rsidRDefault="00772279" w:rsidP="008C4431">
      <w:pPr>
        <w:spacing w:line="360" w:lineRule="auto"/>
        <w:ind w:firstLineChars="200" w:firstLine="480"/>
        <w:rPr>
          <w:rFonts w:ascii="Times New Roman" w:eastAsia="宋体" w:hAnsi="Times New Roman"/>
          <w:sz w:val="24"/>
        </w:rPr>
      </w:pPr>
      <w:r w:rsidRPr="00772279">
        <w:rPr>
          <w:rFonts w:ascii="Times New Roman" w:eastAsia="宋体" w:hAnsi="Times New Roman" w:hint="eastAsia"/>
          <w:sz w:val="24"/>
        </w:rPr>
        <w:t>本部分规定安装、检测和运行阶段的质量保证要求。用于排放浓度、排放速率和排放量核算时，监测点应设置在能够代表排放源最终排放状况的总排气管或排气筒，并符合排放口监测点位和采样平台相关要求。现场检测应在正常、稳定且具有代表性的生产工况下进行，系统与参比方法的测量结果应在时间区间、温度、压力及干湿基状态上保持一致。抽取测量系统进行零点和量程校准时，零气和标准气体应尽可能通过与样气相同的采样、传输和预处理路径；直接测量系统采用流动等效校准。运行期间通过使用有效期内的标准物质、定期开展零点和量程核查与校准、维护测速探头及辅助设备，及时识别系统漂移和运行异常，保障监测数据稳定和可追溯</w:t>
      </w:r>
      <w:r w:rsidR="008C4431">
        <w:rPr>
          <w:rFonts w:ascii="Times New Roman" w:eastAsia="宋体" w:hAnsi="Times New Roman"/>
          <w:sz w:val="24"/>
        </w:rPr>
        <w:t>。</w:t>
      </w:r>
    </w:p>
    <w:p w14:paraId="4369CB30" w14:textId="7AF5B2F9" w:rsidR="00942876" w:rsidRDefault="00942876" w:rsidP="00942876">
      <w:pPr>
        <w:pStyle w:val="2"/>
        <w:spacing w:before="156" w:after="156"/>
      </w:pPr>
      <w:r>
        <w:rPr>
          <w:rFonts w:hint="eastAsia"/>
        </w:rPr>
        <w:t>检测项目</w:t>
      </w:r>
    </w:p>
    <w:p w14:paraId="4CA4C81A" w14:textId="36202F9F" w:rsidR="00942876" w:rsidRDefault="00552BC9" w:rsidP="00942876">
      <w:pPr>
        <w:spacing w:line="360" w:lineRule="auto"/>
        <w:ind w:firstLineChars="200" w:firstLine="480"/>
        <w:rPr>
          <w:rFonts w:ascii="Times New Roman" w:eastAsia="宋体" w:hAnsi="Times New Roman"/>
          <w:sz w:val="24"/>
        </w:rPr>
      </w:pPr>
      <w:r w:rsidRPr="00552BC9">
        <w:rPr>
          <w:rFonts w:ascii="Times New Roman" w:eastAsia="宋体" w:hAnsi="Times New Roman" w:hint="eastAsia"/>
          <w:sz w:val="24"/>
        </w:rPr>
        <w:t>本部分以表格形式汇总实验室和现场检测项目及对应技术要求。实验室检测覆盖预处理系统、氧化亚氮监测单元、量程切换单元和自动质控单元，项目包括预处理系统回收率、仪表响应时间、重复性、线性误差、零点和量程漂移、环境</w:t>
      </w:r>
      <w:r w:rsidRPr="00552BC9">
        <w:rPr>
          <w:rFonts w:ascii="Times New Roman" w:eastAsia="宋体" w:hAnsi="Times New Roman" w:hint="eastAsia"/>
          <w:sz w:val="24"/>
        </w:rPr>
        <w:lastRenderedPageBreak/>
        <w:t>与干扰影响、振动影响、平行性、稀释准确度、量程切换一致性和流量线性误差。现场检测按照初检和复检阶段，设置示值误差、系统响应时间、</w:t>
      </w:r>
      <w:r w:rsidRPr="00552BC9">
        <w:rPr>
          <w:rFonts w:ascii="Times New Roman" w:eastAsia="宋体" w:hAnsi="Times New Roman" w:hint="eastAsia"/>
          <w:sz w:val="24"/>
        </w:rPr>
        <w:t>24 h</w:t>
      </w:r>
      <w:r w:rsidRPr="00552BC9">
        <w:rPr>
          <w:rFonts w:ascii="Times New Roman" w:eastAsia="宋体" w:hAnsi="Times New Roman" w:hint="eastAsia"/>
          <w:sz w:val="24"/>
        </w:rPr>
        <w:t>零点和量程漂移、相对准确度以及尾气流速、温度和湿度监测单元的精密度或正确度项目。汇总表与第</w:t>
      </w:r>
      <w:r w:rsidRPr="00552BC9">
        <w:rPr>
          <w:rFonts w:ascii="Times New Roman" w:eastAsia="宋体" w:hAnsi="Times New Roman" w:hint="eastAsia"/>
          <w:sz w:val="24"/>
        </w:rPr>
        <w:t>6</w:t>
      </w:r>
      <w:r w:rsidRPr="00552BC9">
        <w:rPr>
          <w:rFonts w:ascii="Times New Roman" w:eastAsia="宋体" w:hAnsi="Times New Roman" w:hint="eastAsia"/>
          <w:sz w:val="24"/>
        </w:rPr>
        <w:t>章性能指标和第</w:t>
      </w:r>
      <w:r w:rsidRPr="00552BC9">
        <w:rPr>
          <w:rFonts w:ascii="Times New Roman" w:eastAsia="宋体" w:hAnsi="Times New Roman" w:hint="eastAsia"/>
          <w:sz w:val="24"/>
        </w:rPr>
        <w:t>7</w:t>
      </w:r>
      <w:r w:rsidRPr="00552BC9">
        <w:rPr>
          <w:rFonts w:ascii="Times New Roman" w:eastAsia="宋体" w:hAnsi="Times New Roman" w:hint="eastAsia"/>
          <w:sz w:val="24"/>
        </w:rPr>
        <w:t>章检测方法相对应，为产品检测和现场性能判定提供直接依据</w:t>
      </w:r>
      <w:r w:rsidR="00942876">
        <w:rPr>
          <w:rFonts w:ascii="Times New Roman" w:eastAsia="宋体" w:hAnsi="Times New Roman"/>
          <w:sz w:val="24"/>
        </w:rPr>
        <w:t>。</w:t>
      </w:r>
    </w:p>
    <w:p w14:paraId="347BB79E" w14:textId="77777777" w:rsidR="00D41BB6" w:rsidRDefault="00000000">
      <w:pPr>
        <w:pStyle w:val="1"/>
        <w:spacing w:before="156" w:after="156"/>
      </w:pPr>
      <w:r>
        <w:rPr>
          <w:rFonts w:hint="eastAsia"/>
        </w:rPr>
        <w:t>与国内同类标准水平的对比情况</w:t>
      </w:r>
    </w:p>
    <w:p w14:paraId="093FFFFE" w14:textId="77777777" w:rsidR="00D41BB6" w:rsidRDefault="00000000">
      <w:pPr>
        <w:pStyle w:val="2"/>
        <w:spacing w:before="156" w:after="156"/>
      </w:pPr>
      <w:r>
        <w:rPr>
          <w:rFonts w:hint="eastAsia"/>
        </w:rPr>
        <w:t>国内同类标准情况</w:t>
      </w:r>
    </w:p>
    <w:p w14:paraId="774C73B5" w14:textId="67EE7F53" w:rsidR="00D41BB6" w:rsidRDefault="00552BC9">
      <w:pPr>
        <w:pStyle w:val="A-z"/>
        <w:ind w:firstLine="480"/>
        <w:rPr>
          <w:rFonts w:cstheme="minorBidi"/>
          <w:szCs w:val="22"/>
        </w:rPr>
      </w:pPr>
      <w:r w:rsidRPr="00552BC9">
        <w:rPr>
          <w:rFonts w:cstheme="minorBidi" w:hint="eastAsia"/>
          <w:szCs w:val="22"/>
        </w:rPr>
        <w:t>当前，国内涉及工业氧化亚氮排放的标准主要包括温室气体排放核算与报告标准、行业减排技术标准和固定污染源连续监测通用标准。</w:t>
      </w:r>
      <w:r w:rsidRPr="00552BC9">
        <w:rPr>
          <w:rFonts w:cstheme="minorBidi"/>
          <w:szCs w:val="22"/>
        </w:rPr>
        <w:t>GB/T 32151.10</w:t>
      </w:r>
      <w:r w:rsidRPr="00552BC9">
        <w:rPr>
          <w:rFonts w:cstheme="minorBidi"/>
          <w:szCs w:val="22"/>
        </w:rPr>
        <w:t>《碳排放核算与报告要求</w:t>
      </w:r>
      <w:r w:rsidRPr="00552BC9">
        <w:rPr>
          <w:rFonts w:cstheme="minorBidi"/>
          <w:szCs w:val="22"/>
        </w:rPr>
        <w:t xml:space="preserve"> </w:t>
      </w:r>
      <w:r w:rsidRPr="00552BC9">
        <w:rPr>
          <w:rFonts w:cstheme="minorBidi"/>
          <w:szCs w:val="22"/>
        </w:rPr>
        <w:t>第</w:t>
      </w:r>
      <w:r w:rsidRPr="00552BC9">
        <w:rPr>
          <w:rFonts w:cstheme="minorBidi"/>
          <w:szCs w:val="22"/>
        </w:rPr>
        <w:t>10</w:t>
      </w:r>
      <w:r w:rsidRPr="00552BC9">
        <w:rPr>
          <w:rFonts w:cstheme="minorBidi"/>
          <w:szCs w:val="22"/>
        </w:rPr>
        <w:t>部分：化工生产企业》、</w:t>
      </w:r>
      <w:r w:rsidRPr="00552BC9">
        <w:rPr>
          <w:rFonts w:cstheme="minorBidi"/>
          <w:szCs w:val="22"/>
        </w:rPr>
        <w:t>HG/T 4488</w:t>
      </w:r>
      <w:r w:rsidRPr="00552BC9">
        <w:rPr>
          <w:rFonts w:cstheme="minorBidi"/>
          <w:szCs w:val="22"/>
        </w:rPr>
        <w:t>《硝酸生产企业氧化亚氮（</w:t>
      </w:r>
      <w:r w:rsidRPr="00552BC9">
        <w:rPr>
          <w:rFonts w:cstheme="minorBidi"/>
          <w:szCs w:val="22"/>
        </w:rPr>
        <w:t>N₂O</w:t>
      </w:r>
      <w:r w:rsidRPr="00552BC9">
        <w:rPr>
          <w:rFonts w:cstheme="minorBidi"/>
          <w:szCs w:val="22"/>
        </w:rPr>
        <w:t>）排放量的计算方法》等，主要规定排放边界、核算方法、活动数据和排放因子；</w:t>
      </w:r>
      <w:r w:rsidRPr="00552BC9">
        <w:rPr>
          <w:rFonts w:cstheme="minorBidi"/>
          <w:szCs w:val="22"/>
        </w:rPr>
        <w:t>HG/T 6348</w:t>
      </w:r>
      <w:r w:rsidRPr="00552BC9">
        <w:rPr>
          <w:rFonts w:cstheme="minorBidi"/>
          <w:szCs w:val="22"/>
        </w:rPr>
        <w:t>《硝酸行业氧化亚氮减排技术规范》主要规定硝酸生产过程</w:t>
      </w:r>
      <w:r w:rsidRPr="00552BC9">
        <w:rPr>
          <w:rFonts w:cstheme="minorBidi"/>
          <w:szCs w:val="22"/>
        </w:rPr>
        <w:t>N₂O</w:t>
      </w:r>
      <w:r w:rsidRPr="00552BC9">
        <w:rPr>
          <w:rFonts w:cstheme="minorBidi"/>
          <w:szCs w:val="22"/>
        </w:rPr>
        <w:t>减排技术及减排效果计算。</w:t>
      </w:r>
      <w:r w:rsidRPr="00552BC9">
        <w:rPr>
          <w:rFonts w:cstheme="minorBidi"/>
          <w:szCs w:val="22"/>
        </w:rPr>
        <w:t>HJ 75</w:t>
      </w:r>
      <w:r w:rsidRPr="00552BC9">
        <w:rPr>
          <w:rFonts w:cstheme="minorBidi"/>
          <w:szCs w:val="22"/>
        </w:rPr>
        <w:t>、</w:t>
      </w:r>
      <w:r w:rsidRPr="00552BC9">
        <w:rPr>
          <w:rFonts w:cstheme="minorBidi"/>
          <w:szCs w:val="22"/>
        </w:rPr>
        <w:t>HJ 76</w:t>
      </w:r>
      <w:r w:rsidRPr="00552BC9">
        <w:rPr>
          <w:rFonts w:cstheme="minorBidi"/>
          <w:szCs w:val="22"/>
        </w:rPr>
        <w:t>等标准建立了固定污染源烟气连续监测系统的通用技术框架，但适用对象主要为颗粒</w:t>
      </w:r>
      <w:r w:rsidRPr="00552BC9">
        <w:rPr>
          <w:rFonts w:cstheme="minorBidi" w:hint="eastAsia"/>
          <w:szCs w:val="22"/>
        </w:rPr>
        <w:t>物、二氧化硫和氮氧化物，未针对工业尾气</w:t>
      </w:r>
      <w:r w:rsidRPr="00552BC9">
        <w:rPr>
          <w:rFonts w:cstheme="minorBidi"/>
          <w:szCs w:val="22"/>
        </w:rPr>
        <w:t>N₂O</w:t>
      </w:r>
      <w:r w:rsidRPr="00552BC9">
        <w:rPr>
          <w:rFonts w:cstheme="minorBidi"/>
          <w:szCs w:val="22"/>
        </w:rPr>
        <w:t>浓度跨度、预处理回收、共存气体干扰、量程切换和数据质量控制作出专门规定。目前，国内尚缺少面向工业尾气</w:t>
      </w:r>
      <w:r w:rsidRPr="00552BC9">
        <w:rPr>
          <w:rFonts w:cstheme="minorBidi"/>
          <w:szCs w:val="22"/>
        </w:rPr>
        <w:t>N₂O</w:t>
      </w:r>
      <w:r w:rsidRPr="00552BC9">
        <w:rPr>
          <w:rFonts w:cstheme="minorBidi"/>
          <w:szCs w:val="22"/>
        </w:rPr>
        <w:t>连续直接测量系统的专项技术标准</w:t>
      </w:r>
      <w:r w:rsidR="00385D06" w:rsidRPr="00385D06">
        <w:rPr>
          <w:rFonts w:cstheme="minorBidi"/>
          <w:szCs w:val="22"/>
        </w:rPr>
        <w:t>。</w:t>
      </w:r>
    </w:p>
    <w:p w14:paraId="4AFFEF0C" w14:textId="77777777" w:rsidR="00D41BB6" w:rsidRDefault="00000000">
      <w:pPr>
        <w:pStyle w:val="2"/>
        <w:spacing w:before="156" w:after="156"/>
      </w:pPr>
      <w:r>
        <w:rPr>
          <w:rFonts w:hint="eastAsia"/>
        </w:rPr>
        <w:t>对比分析</w:t>
      </w:r>
    </w:p>
    <w:p w14:paraId="610F3053" w14:textId="77777777" w:rsidR="00ED12BC" w:rsidRPr="00ED12BC" w:rsidRDefault="00ED12BC" w:rsidP="00ED12BC">
      <w:pPr>
        <w:pStyle w:val="A-z"/>
        <w:ind w:firstLine="480"/>
        <w:rPr>
          <w:rFonts w:cstheme="minorBidi"/>
          <w:szCs w:val="22"/>
        </w:rPr>
      </w:pPr>
      <w:r w:rsidRPr="00ED12BC">
        <w:rPr>
          <w:rFonts w:cstheme="minorBidi"/>
          <w:szCs w:val="22"/>
        </w:rPr>
        <w:t>GB/T 32151.10</w:t>
      </w:r>
      <w:r w:rsidRPr="00ED12BC">
        <w:rPr>
          <w:rFonts w:cstheme="minorBidi"/>
          <w:szCs w:val="22"/>
        </w:rPr>
        <w:t>及相关温室气体清单编制指南规定了硝酸、己二酸等化工生产过程氧化亚氮排放量的核算方法，可采用缺省排放因子、企业特定排放因子或实测数据开展核算，但未规定连续直接测量系统的组成、预处理、量程配置、性能指标、检测程序及数据质量控制要求，难以直接指导</w:t>
      </w:r>
      <w:r w:rsidRPr="00ED12BC">
        <w:rPr>
          <w:rFonts w:cstheme="minorBidi"/>
          <w:szCs w:val="22"/>
        </w:rPr>
        <w:t>N₂O</w:t>
      </w:r>
      <w:r w:rsidRPr="00ED12BC">
        <w:rPr>
          <w:rFonts w:cstheme="minorBidi"/>
          <w:szCs w:val="22"/>
        </w:rPr>
        <w:t>连续直接测量系统的设计、生产和性能评价。</w:t>
      </w:r>
    </w:p>
    <w:p w14:paraId="1EBDC934" w14:textId="77777777" w:rsidR="00ED12BC" w:rsidRPr="00ED12BC" w:rsidRDefault="00ED12BC" w:rsidP="00ED12BC">
      <w:pPr>
        <w:pStyle w:val="A-z"/>
        <w:ind w:firstLine="480"/>
        <w:rPr>
          <w:rFonts w:cstheme="minorBidi"/>
          <w:szCs w:val="22"/>
        </w:rPr>
      </w:pPr>
      <w:r w:rsidRPr="00ED12BC">
        <w:rPr>
          <w:rFonts w:cstheme="minorBidi"/>
          <w:szCs w:val="22"/>
        </w:rPr>
        <w:t>HG/T 4488</w:t>
      </w:r>
      <w:r w:rsidRPr="00ED12BC">
        <w:rPr>
          <w:rFonts w:cstheme="minorBidi"/>
          <w:szCs w:val="22"/>
        </w:rPr>
        <w:t>规定了硝酸生产企业氧化亚氮排放量及减排量的计算方法，侧重排放结果核算，未对</w:t>
      </w:r>
      <w:r w:rsidRPr="00ED12BC">
        <w:rPr>
          <w:rFonts w:cstheme="minorBidi"/>
          <w:szCs w:val="22"/>
        </w:rPr>
        <w:t>N₂O</w:t>
      </w:r>
      <w:r w:rsidRPr="00ED12BC">
        <w:rPr>
          <w:rFonts w:cstheme="minorBidi"/>
          <w:szCs w:val="22"/>
        </w:rPr>
        <w:t>浓度、尾气流量等参数的连续测量设备、系统性能和运行质量保证作出系统规定。</w:t>
      </w:r>
      <w:r w:rsidRPr="00ED12BC">
        <w:rPr>
          <w:rFonts w:cstheme="minorBidi"/>
          <w:szCs w:val="22"/>
        </w:rPr>
        <w:t>HG/T 6348</w:t>
      </w:r>
      <w:r w:rsidRPr="00ED12BC">
        <w:rPr>
          <w:rFonts w:cstheme="minorBidi"/>
          <w:szCs w:val="22"/>
        </w:rPr>
        <w:t>主要围绕硝酸行业氧化亚氮减排技术选择、设施运行和减排效果评价提出要求，未建立适用于连续直接测量系统的实验室和</w:t>
      </w:r>
      <w:r w:rsidRPr="00ED12BC">
        <w:rPr>
          <w:rFonts w:cstheme="minorBidi"/>
          <w:szCs w:val="22"/>
        </w:rPr>
        <w:lastRenderedPageBreak/>
        <w:t>现场性能检测体系。</w:t>
      </w:r>
    </w:p>
    <w:p w14:paraId="71DC9CB0" w14:textId="77777777" w:rsidR="00ED12BC" w:rsidRPr="00ED12BC" w:rsidRDefault="00ED12BC" w:rsidP="00ED12BC">
      <w:pPr>
        <w:pStyle w:val="A-z"/>
        <w:ind w:firstLine="480"/>
        <w:rPr>
          <w:rFonts w:cstheme="minorBidi"/>
          <w:szCs w:val="22"/>
        </w:rPr>
      </w:pPr>
      <w:r w:rsidRPr="00ED12BC">
        <w:rPr>
          <w:rFonts w:cstheme="minorBidi"/>
          <w:szCs w:val="22"/>
        </w:rPr>
        <w:t>HJ 75</w:t>
      </w:r>
      <w:r w:rsidRPr="00ED12BC">
        <w:rPr>
          <w:rFonts w:cstheme="minorBidi"/>
          <w:szCs w:val="22"/>
        </w:rPr>
        <w:t>和</w:t>
      </w:r>
      <w:r w:rsidRPr="00ED12BC">
        <w:rPr>
          <w:rFonts w:cstheme="minorBidi"/>
          <w:szCs w:val="22"/>
        </w:rPr>
        <w:t>HJ 76</w:t>
      </w:r>
      <w:r w:rsidRPr="00ED12BC">
        <w:rPr>
          <w:rFonts w:cstheme="minorBidi"/>
          <w:szCs w:val="22"/>
        </w:rPr>
        <w:t>对固定污染源烟气连续监测系统的安装、性能检测、质量保证和运行维护提出了通用要求，可为本标准提供结构和方法参考，但未充分考虑硝酸、己二酸和己内酰胺尾气中</w:t>
      </w:r>
      <w:r w:rsidRPr="00ED12BC">
        <w:rPr>
          <w:rFonts w:cstheme="minorBidi"/>
          <w:szCs w:val="22"/>
        </w:rPr>
        <w:t>N₂O</w:t>
      </w:r>
      <w:r w:rsidRPr="00ED12BC">
        <w:rPr>
          <w:rFonts w:cstheme="minorBidi"/>
          <w:szCs w:val="22"/>
        </w:rPr>
        <w:t>浓度跨度大、湿度和腐蚀性较高、共存组分复杂，以及抽取、稀释抽取和直接测量方式在校准、预处理和量程适配方面的差异。</w:t>
      </w:r>
    </w:p>
    <w:p w14:paraId="6403662C" w14:textId="7B0DE6B8" w:rsidR="00D41BB6" w:rsidRDefault="00ED12BC" w:rsidP="00ED12BC">
      <w:pPr>
        <w:pStyle w:val="A-z"/>
        <w:ind w:firstLine="480"/>
      </w:pPr>
      <w:r w:rsidRPr="00ED12BC">
        <w:rPr>
          <w:rFonts w:cstheme="minorBidi" w:hint="eastAsia"/>
          <w:szCs w:val="22"/>
        </w:rPr>
        <w:t>本标准在借鉴现有核算标准、行业减排标准和固定污染源连续监测标准的基础上，针对工业尾气</w:t>
      </w:r>
      <w:r w:rsidRPr="00ED12BC">
        <w:rPr>
          <w:rFonts w:cstheme="minorBidi"/>
          <w:szCs w:val="22"/>
        </w:rPr>
        <w:t>N₂O</w:t>
      </w:r>
      <w:r w:rsidRPr="00ED12BC">
        <w:rPr>
          <w:rFonts w:cstheme="minorBidi"/>
          <w:szCs w:val="22"/>
        </w:rPr>
        <w:t>连续直接测量特点，规定系统组成和结构、样品采集与预处理、校准与自动质控、经验证测量范围和量程切换、实验室和现场性能指标、检测方法、安装与运行质量保证、检测项目以及数据采集处理和排放量计算要求。与国内现有标准相比，本标准将设备性能、整套系统性能和数据质量控制相衔接，填补工业尾气</w:t>
      </w:r>
      <w:r w:rsidRPr="00ED12BC">
        <w:rPr>
          <w:rFonts w:cstheme="minorBidi"/>
          <w:szCs w:val="22"/>
        </w:rPr>
        <w:t>N₂O</w:t>
      </w:r>
      <w:r w:rsidRPr="00ED12BC">
        <w:rPr>
          <w:rFonts w:cstheme="minorBidi"/>
          <w:szCs w:val="22"/>
        </w:rPr>
        <w:t>排放连续直接测量专项技术标准的空白</w:t>
      </w:r>
      <w:r w:rsidR="005B5D8F">
        <w:rPr>
          <w:rFonts w:cstheme="minorBidi" w:hint="eastAsia"/>
          <w:szCs w:val="22"/>
        </w:rPr>
        <w:t>。</w:t>
      </w:r>
    </w:p>
    <w:p w14:paraId="71739BC5" w14:textId="77777777" w:rsidR="00D41BB6" w:rsidRDefault="00000000">
      <w:pPr>
        <w:pStyle w:val="1"/>
        <w:spacing w:before="156" w:after="156"/>
      </w:pPr>
      <w:r>
        <w:rPr>
          <w:rFonts w:hint="eastAsia"/>
        </w:rPr>
        <w:t>与国际、国外同类标准水平的对比情况</w:t>
      </w:r>
    </w:p>
    <w:p w14:paraId="4E6E805E" w14:textId="6E6CEA47" w:rsidR="00DB6B88" w:rsidRPr="00DB6B88" w:rsidRDefault="00DB6B88" w:rsidP="00DB6B88">
      <w:pPr>
        <w:pStyle w:val="A-z"/>
        <w:ind w:firstLine="480"/>
        <w:rPr>
          <w:rFonts w:cstheme="minorBidi"/>
          <w:szCs w:val="22"/>
        </w:rPr>
      </w:pPr>
      <w:r w:rsidRPr="00DB6B88">
        <w:rPr>
          <w:rFonts w:cstheme="minorBidi" w:hint="eastAsia"/>
          <w:szCs w:val="22"/>
        </w:rPr>
        <w:t>国外工业氧化亚氮排放管理主要依托温室气体排放交易制度、强制报告制度以及固定源自动监测质量保证标准，形成了“排放监测—核算报告—第三方核查”的管理模式。相关法规对监测边界、测量参数、数据有效性、不确定度、质量保证和缺失数据处理等作出了规定，但尚未形成一项同时覆盖硝酸、己二酸和己内酰胺行业，并贯穿</w:t>
      </w:r>
      <w:r>
        <w:rPr>
          <w:rFonts w:cstheme="minorBidi" w:hint="eastAsia"/>
          <w:szCs w:val="22"/>
        </w:rPr>
        <w:t>氧化亚氮</w:t>
      </w:r>
      <w:r w:rsidRPr="00DB6B88">
        <w:rPr>
          <w:rFonts w:cstheme="minorBidi"/>
          <w:szCs w:val="22"/>
        </w:rPr>
        <w:t>连续直接测量系统设计、生产、实验室检测、现场安装、技术验收和运行管理全过程的专项技术标准。</w:t>
      </w:r>
    </w:p>
    <w:p w14:paraId="1AD24471" w14:textId="6952B0CD" w:rsidR="00DB6B88" w:rsidRPr="00DB6B88" w:rsidRDefault="00DB6B88" w:rsidP="00DB6B88">
      <w:pPr>
        <w:pStyle w:val="A-z"/>
        <w:ind w:firstLine="480"/>
        <w:rPr>
          <w:rFonts w:cstheme="minorBidi"/>
          <w:szCs w:val="22"/>
        </w:rPr>
      </w:pPr>
      <w:r w:rsidRPr="00DB6B88">
        <w:rPr>
          <w:rFonts w:cstheme="minorBidi" w:hint="eastAsia"/>
          <w:szCs w:val="22"/>
        </w:rPr>
        <w:t>欧盟将硝酸、己二酸等生产过程的</w:t>
      </w:r>
      <w:r>
        <w:rPr>
          <w:rFonts w:cstheme="minorBidi" w:hint="eastAsia"/>
          <w:szCs w:val="22"/>
        </w:rPr>
        <w:t>氧化亚氮</w:t>
      </w:r>
      <w:r w:rsidRPr="00DB6B88">
        <w:rPr>
          <w:rFonts w:cstheme="minorBidi"/>
          <w:szCs w:val="22"/>
        </w:rPr>
        <w:t>排放纳入欧盟碳排放交易体系，并通过《欧盟温室气体排放监测和报告条例》规定相关生产过程</w:t>
      </w:r>
      <w:r>
        <w:rPr>
          <w:rFonts w:cstheme="minorBidi" w:hint="eastAsia"/>
          <w:szCs w:val="22"/>
        </w:rPr>
        <w:t>氧化亚氮</w:t>
      </w:r>
      <w:r w:rsidRPr="00DB6B88">
        <w:rPr>
          <w:rFonts w:cstheme="minorBidi"/>
          <w:szCs w:val="22"/>
        </w:rPr>
        <w:t>排放的监测与报告方法。该条例针对硝酸、己二酸、己内酰胺、乙二醛和乙醛酸生产过程设置了专门监测要求，采用测量法时，应连续测量具有代表性位置的</w:t>
      </w:r>
      <w:r>
        <w:rPr>
          <w:rFonts w:cstheme="minorBidi" w:hint="eastAsia"/>
          <w:szCs w:val="22"/>
        </w:rPr>
        <w:t>氧化亚氮</w:t>
      </w:r>
      <w:r w:rsidRPr="00DB6B88">
        <w:rPr>
          <w:rFonts w:cstheme="minorBidi"/>
          <w:szCs w:val="22"/>
        </w:rPr>
        <w:t>浓度，并结合尾气流量计算小时及年度排放量；监测位置原则上设置在减排设施下游，同时对测量不确定度、有效小时数据、缺失数据替代、设备故障记录及质量保证提出要求，并引入</w:t>
      </w:r>
      <w:r w:rsidRPr="00DB6B88">
        <w:rPr>
          <w:rFonts w:cstheme="minorBidi"/>
          <w:szCs w:val="22"/>
        </w:rPr>
        <w:t>EN 14181</w:t>
      </w:r>
      <w:r w:rsidRPr="00DB6B88">
        <w:rPr>
          <w:rFonts w:cstheme="minorBidi"/>
          <w:szCs w:val="22"/>
        </w:rPr>
        <w:t>等自动测量系统质量保证标准。欧盟相关规定侧重碳市场履约所需的排放</w:t>
      </w:r>
      <w:r w:rsidRPr="00DB6B88">
        <w:rPr>
          <w:rFonts w:cstheme="minorBidi" w:hint="eastAsia"/>
          <w:szCs w:val="22"/>
        </w:rPr>
        <w:t>监测和核查，未系统规定</w:t>
      </w:r>
      <w:r w:rsidRPr="00310D06">
        <w:t>氧化亚氮排放连续直接测量系统</w:t>
      </w:r>
      <w:r w:rsidRPr="00DB6B88">
        <w:rPr>
          <w:rFonts w:cstheme="minorBidi"/>
          <w:szCs w:val="22"/>
        </w:rPr>
        <w:t>分析仪器及整套系统的实验室性能检测、产品检测项目和现场技术验收程</w:t>
      </w:r>
      <w:r w:rsidRPr="00DB6B88">
        <w:rPr>
          <w:rFonts w:cstheme="minorBidi"/>
          <w:szCs w:val="22"/>
        </w:rPr>
        <w:lastRenderedPageBreak/>
        <w:t>序。</w:t>
      </w:r>
    </w:p>
    <w:p w14:paraId="630E2FA9" w14:textId="65D05074" w:rsidR="00DB6B88" w:rsidRPr="00DB6B88" w:rsidRDefault="00DB6B88" w:rsidP="00DB6B88">
      <w:pPr>
        <w:pStyle w:val="A-z"/>
        <w:ind w:firstLine="480"/>
        <w:rPr>
          <w:rFonts w:cstheme="minorBidi"/>
          <w:szCs w:val="22"/>
        </w:rPr>
      </w:pPr>
      <w:r w:rsidRPr="00DB6B88">
        <w:rPr>
          <w:rFonts w:cstheme="minorBidi" w:hint="eastAsia"/>
          <w:szCs w:val="22"/>
        </w:rPr>
        <w:t>美国依据温室气体报告计划对有关化工行业</w:t>
      </w:r>
      <w:r>
        <w:rPr>
          <w:rFonts w:cstheme="minorBidi" w:hint="eastAsia"/>
          <w:szCs w:val="22"/>
        </w:rPr>
        <w:t>氧化亚氮</w:t>
      </w:r>
      <w:r w:rsidRPr="00DB6B88">
        <w:rPr>
          <w:rFonts w:cstheme="minorBidi"/>
          <w:szCs w:val="22"/>
        </w:rPr>
        <w:t>排放实施年度报告。对于硝酸和己二酸生产，美国法规主要要求开展年度排放性能测试，测量</w:t>
      </w:r>
      <w:r>
        <w:rPr>
          <w:rFonts w:cstheme="minorBidi" w:hint="eastAsia"/>
          <w:szCs w:val="22"/>
        </w:rPr>
        <w:t>氧化亚氮</w:t>
      </w:r>
      <w:r w:rsidRPr="00DB6B88">
        <w:rPr>
          <w:rFonts w:cstheme="minorBidi"/>
          <w:szCs w:val="22"/>
        </w:rPr>
        <w:t>浓度、尾气流量和产品产量，建立设施或生产线特定排放因子，并结合减排设施去除效率及运行情况核算年度排放量；</w:t>
      </w:r>
      <w:r>
        <w:rPr>
          <w:rFonts w:cstheme="minorBidi" w:hint="eastAsia"/>
          <w:szCs w:val="22"/>
        </w:rPr>
        <w:t>氧化亚氮</w:t>
      </w:r>
      <w:r w:rsidRPr="00DB6B88">
        <w:rPr>
          <w:rFonts w:cstheme="minorBidi"/>
          <w:szCs w:val="22"/>
        </w:rPr>
        <w:t>浓度测试可采用</w:t>
      </w:r>
      <w:r w:rsidRPr="00DB6B88">
        <w:rPr>
          <w:rFonts w:cstheme="minorBidi"/>
          <w:szCs w:val="22"/>
        </w:rPr>
        <w:t>EPA Method 320</w:t>
      </w:r>
      <w:r w:rsidRPr="00DB6B88">
        <w:rPr>
          <w:rFonts w:cstheme="minorBidi"/>
          <w:szCs w:val="22"/>
        </w:rPr>
        <w:t>、</w:t>
      </w:r>
      <w:r w:rsidRPr="00DB6B88">
        <w:rPr>
          <w:rFonts w:cstheme="minorBidi"/>
          <w:szCs w:val="22"/>
        </w:rPr>
        <w:t>ASTM D6348</w:t>
      </w:r>
      <w:r w:rsidRPr="00DB6B88">
        <w:rPr>
          <w:rFonts w:cstheme="minorBidi"/>
          <w:szCs w:val="22"/>
        </w:rPr>
        <w:t>等傅里叶变换红外光谱方法或经批准的等效方法，并未普遍强制采用</w:t>
      </w:r>
      <w:r>
        <w:rPr>
          <w:rFonts w:cstheme="minorBidi" w:hint="eastAsia"/>
          <w:szCs w:val="22"/>
        </w:rPr>
        <w:t>氧化亚氮</w:t>
      </w:r>
      <w:r w:rsidRPr="00DB6B88">
        <w:rPr>
          <w:rFonts w:cstheme="minorBidi"/>
          <w:szCs w:val="22"/>
        </w:rPr>
        <w:t>连续排放监测系统。自</w:t>
      </w:r>
      <w:r w:rsidRPr="00DB6B88">
        <w:rPr>
          <w:rFonts w:cstheme="minorBidi"/>
          <w:szCs w:val="22"/>
        </w:rPr>
        <w:t>2025</w:t>
      </w:r>
      <w:r w:rsidRPr="00DB6B88">
        <w:rPr>
          <w:rFonts w:cstheme="minorBidi"/>
          <w:szCs w:val="22"/>
        </w:rPr>
        <w:t>报告年度起，美国将己内酰胺等生产过程纳入温室气体报告范围，主要采用缺省</w:t>
      </w:r>
      <w:r>
        <w:rPr>
          <w:rFonts w:cstheme="minorBidi" w:hint="eastAsia"/>
          <w:szCs w:val="22"/>
        </w:rPr>
        <w:t>氧化亚氮</w:t>
      </w:r>
      <w:r w:rsidRPr="00DB6B88">
        <w:rPr>
          <w:rFonts w:cstheme="minorBidi"/>
          <w:szCs w:val="22"/>
        </w:rPr>
        <w:t>产生因子、产品产量以及减排设施去除效</w:t>
      </w:r>
      <w:r w:rsidRPr="00DB6B88">
        <w:rPr>
          <w:rFonts w:cstheme="minorBidi" w:hint="eastAsia"/>
          <w:szCs w:val="22"/>
        </w:rPr>
        <w:t>率和利用率进行核算，同样未建立完整的</w:t>
      </w:r>
      <w:r w:rsidRPr="00310D06">
        <w:t>氧化亚氮排放连续直接测量系统</w:t>
      </w:r>
      <w:r w:rsidRPr="00DB6B88">
        <w:rPr>
          <w:rFonts w:cstheme="minorBidi"/>
          <w:szCs w:val="22"/>
        </w:rPr>
        <w:t>专项技术要求。</w:t>
      </w:r>
    </w:p>
    <w:p w14:paraId="56684E4C" w14:textId="1D411E22" w:rsidR="00D41BB6" w:rsidRDefault="00C151DA" w:rsidP="00DB6B88">
      <w:pPr>
        <w:pStyle w:val="A-z"/>
        <w:ind w:firstLine="480"/>
      </w:pPr>
      <w:r w:rsidRPr="00C151DA">
        <w:rPr>
          <w:rFonts w:cstheme="minorBidi" w:hint="eastAsia"/>
          <w:szCs w:val="22"/>
        </w:rPr>
        <w:t>本标准在借鉴国际参比方法、自动测量系统质量保证、设备性能评价和完整采样链验证要求的基础上，结合我国硝酸、己二酸和己内酰胺工业尾气浓度跨度大、共存组分复杂和现场工况差异明显等特点，建立覆盖系统组成、功能要求、性能指标、实验室检测、现场检测、质量保证及数据处理的技术体系。总体技术路线与国际相关标准和制度保持衔接，并针对工业</w:t>
      </w:r>
      <w:r w:rsidRPr="00C151DA">
        <w:rPr>
          <w:rFonts w:cstheme="minorBidi"/>
          <w:szCs w:val="22"/>
        </w:rPr>
        <w:t>N₂O</w:t>
      </w:r>
      <w:r w:rsidRPr="00C151DA">
        <w:rPr>
          <w:rFonts w:cstheme="minorBidi"/>
          <w:szCs w:val="22"/>
        </w:rPr>
        <w:t>连续直接测量的宽量程和全过程数据质量控制需求进行了细化</w:t>
      </w:r>
      <w:r w:rsidR="00DB6B88" w:rsidRPr="00DB6B88">
        <w:rPr>
          <w:rFonts w:cstheme="minorBidi"/>
          <w:szCs w:val="22"/>
        </w:rPr>
        <w:t>。</w:t>
      </w:r>
    </w:p>
    <w:p w14:paraId="7A90A55A" w14:textId="77777777" w:rsidR="00D41BB6" w:rsidRDefault="00000000">
      <w:pPr>
        <w:pStyle w:val="1"/>
        <w:spacing w:before="156" w:after="156"/>
      </w:pPr>
      <w:r>
        <w:rPr>
          <w:rFonts w:hint="eastAsia"/>
        </w:rPr>
        <w:t>与现行法律、法规和强制性标准的关系</w:t>
      </w:r>
    </w:p>
    <w:p w14:paraId="1A24758B" w14:textId="77777777" w:rsidR="00D41BB6" w:rsidRDefault="00000000">
      <w:pPr>
        <w:pStyle w:val="A-z"/>
        <w:ind w:firstLine="480"/>
      </w:pPr>
      <w:r>
        <w:rPr>
          <w:rFonts w:hint="eastAsia"/>
        </w:rPr>
        <w:t>至标准编制之日尚未发现与计划编制标准相冲突的现行法律、法规和强制性国家标准。</w:t>
      </w:r>
    </w:p>
    <w:p w14:paraId="03BE151D" w14:textId="77777777" w:rsidR="00D41BB6" w:rsidRDefault="00000000">
      <w:pPr>
        <w:pStyle w:val="1"/>
        <w:spacing w:before="156" w:after="156"/>
      </w:pPr>
      <w:r>
        <w:rPr>
          <w:rFonts w:hint="eastAsia"/>
        </w:rPr>
        <w:t>重大分歧意见的处理</w:t>
      </w:r>
    </w:p>
    <w:p w14:paraId="2E3CB52E" w14:textId="77777777" w:rsidR="00D41BB6" w:rsidRDefault="00000000">
      <w:pPr>
        <w:pStyle w:val="A-z"/>
        <w:ind w:firstLine="480"/>
      </w:pPr>
      <w:r>
        <w:rPr>
          <w:rFonts w:hint="eastAsia"/>
        </w:rPr>
        <w:t>暂无。</w:t>
      </w:r>
    </w:p>
    <w:p w14:paraId="69FF6FAA" w14:textId="77777777" w:rsidR="00D41BB6" w:rsidRDefault="00000000">
      <w:pPr>
        <w:pStyle w:val="1"/>
        <w:spacing w:before="156" w:after="156"/>
      </w:pPr>
      <w:r>
        <w:rPr>
          <w:rFonts w:hint="eastAsia"/>
        </w:rPr>
        <w:t>其他应予以说明的事项</w:t>
      </w:r>
    </w:p>
    <w:p w14:paraId="076BB151" w14:textId="77777777" w:rsidR="00D41BB6" w:rsidRDefault="00000000">
      <w:pPr>
        <w:pStyle w:val="A-z"/>
        <w:ind w:firstLine="480"/>
      </w:pPr>
      <w:r>
        <w:rPr>
          <w:rFonts w:hint="eastAsia"/>
        </w:rPr>
        <w:t>暂无。</w:t>
      </w:r>
    </w:p>
    <w:p w14:paraId="497E1AC3" w14:textId="77777777" w:rsidR="00D41BB6" w:rsidRDefault="00D41BB6">
      <w:pPr>
        <w:pStyle w:val="A-z"/>
        <w:ind w:firstLine="480"/>
      </w:pPr>
    </w:p>
    <w:sectPr w:rsidR="00D41B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9F559" w14:textId="77777777" w:rsidR="00FB0D82" w:rsidRDefault="00FB0D82" w:rsidP="001E4073">
      <w:pPr>
        <w:rPr>
          <w:rFonts w:hint="eastAsia"/>
        </w:rPr>
      </w:pPr>
      <w:r>
        <w:separator/>
      </w:r>
    </w:p>
  </w:endnote>
  <w:endnote w:type="continuationSeparator" w:id="0">
    <w:p w14:paraId="0D942A4F" w14:textId="77777777" w:rsidR="00FB0D82" w:rsidRDefault="00FB0D82" w:rsidP="001E407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F361E" w14:textId="77777777" w:rsidR="00FB0D82" w:rsidRDefault="00FB0D82" w:rsidP="001E4073">
      <w:pPr>
        <w:rPr>
          <w:rFonts w:hint="eastAsia"/>
        </w:rPr>
      </w:pPr>
      <w:r>
        <w:separator/>
      </w:r>
    </w:p>
  </w:footnote>
  <w:footnote w:type="continuationSeparator" w:id="0">
    <w:p w14:paraId="137EC3AF" w14:textId="77777777" w:rsidR="00FB0D82" w:rsidRDefault="00FB0D82" w:rsidP="001E407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C45CD"/>
    <w:multiLevelType w:val="multilevel"/>
    <w:tmpl w:val="4CEC45CD"/>
    <w:lvl w:ilvl="0">
      <w:start w:val="1"/>
      <w:numFmt w:val="decimal"/>
      <w:pStyle w:val="1"/>
      <w:lvlText w:val="%1"/>
      <w:lvlJc w:val="left"/>
      <w:pPr>
        <w:tabs>
          <w:tab w:val="left" w:pos="454"/>
        </w:tabs>
        <w:ind w:left="0" w:firstLine="0"/>
      </w:pPr>
      <w:rPr>
        <w:rFonts w:hint="eastAsia"/>
      </w:rPr>
    </w:lvl>
    <w:lvl w:ilvl="1">
      <w:start w:val="1"/>
      <w:numFmt w:val="decimal"/>
      <w:pStyle w:val="2"/>
      <w:lvlText w:val="%1.%2"/>
      <w:lvlJc w:val="left"/>
      <w:pPr>
        <w:tabs>
          <w:tab w:val="left" w:pos="0"/>
        </w:tabs>
        <w:ind w:left="0" w:firstLine="0"/>
      </w:pPr>
      <w:rPr>
        <w:rFonts w:hint="eastAsia"/>
      </w:rPr>
    </w:lvl>
    <w:lvl w:ilvl="2">
      <w:start w:val="1"/>
      <w:numFmt w:val="decimal"/>
      <w:pStyle w:val="3"/>
      <w:lvlText w:val="%1.%2.%3"/>
      <w:lvlJc w:val="left"/>
      <w:pPr>
        <w:tabs>
          <w:tab w:val="left" w:pos="720"/>
        </w:tabs>
        <w:ind w:left="720" w:hanging="720"/>
      </w:pPr>
      <w:rPr>
        <w:rFonts w:ascii="Times New Roman" w:hAnsi="Times New Roman" w:cs="Times New Roman" w:hint="default"/>
      </w:rPr>
    </w:lvl>
    <w:lvl w:ilvl="3">
      <w:start w:val="1"/>
      <w:numFmt w:val="decimal"/>
      <w:pStyle w:val="4"/>
      <w:lvlText w:val="%1.%2.%3.%4"/>
      <w:lvlJc w:val="left"/>
      <w:pPr>
        <w:tabs>
          <w:tab w:val="left" w:pos="864"/>
        </w:tabs>
        <w:ind w:left="864" w:hanging="864"/>
      </w:pPr>
      <w:rPr>
        <w:rFonts w:ascii="Times New Roman" w:hAnsi="Times New Roman" w:cs="Times New Roman" w:hint="default"/>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num w:numId="1" w16cid:durableId="1648630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M5MDc5ODI1MzhiMWIxYWNkZTEzNzJjYjBkZjQwZDgifQ=="/>
  </w:docVars>
  <w:rsids>
    <w:rsidRoot w:val="0083461B"/>
    <w:rsid w:val="000102FF"/>
    <w:rsid w:val="00010BB1"/>
    <w:rsid w:val="00013585"/>
    <w:rsid w:val="00014BF8"/>
    <w:rsid w:val="00015558"/>
    <w:rsid w:val="000317D1"/>
    <w:rsid w:val="00035385"/>
    <w:rsid w:val="00036993"/>
    <w:rsid w:val="00057B80"/>
    <w:rsid w:val="0006001F"/>
    <w:rsid w:val="00063FD1"/>
    <w:rsid w:val="00073B27"/>
    <w:rsid w:val="00073EEA"/>
    <w:rsid w:val="00074E10"/>
    <w:rsid w:val="00084E9D"/>
    <w:rsid w:val="00092D8B"/>
    <w:rsid w:val="0009408D"/>
    <w:rsid w:val="000A118F"/>
    <w:rsid w:val="000B2760"/>
    <w:rsid w:val="000C1842"/>
    <w:rsid w:val="000D0CC9"/>
    <w:rsid w:val="000E7171"/>
    <w:rsid w:val="0010686D"/>
    <w:rsid w:val="00106B61"/>
    <w:rsid w:val="001137FB"/>
    <w:rsid w:val="00114337"/>
    <w:rsid w:val="00115DFB"/>
    <w:rsid w:val="00123257"/>
    <w:rsid w:val="00123E15"/>
    <w:rsid w:val="001241D5"/>
    <w:rsid w:val="00127349"/>
    <w:rsid w:val="001316B4"/>
    <w:rsid w:val="00147981"/>
    <w:rsid w:val="00166DB6"/>
    <w:rsid w:val="001814AE"/>
    <w:rsid w:val="00184405"/>
    <w:rsid w:val="00191B32"/>
    <w:rsid w:val="001A3DBC"/>
    <w:rsid w:val="001C718F"/>
    <w:rsid w:val="001D1306"/>
    <w:rsid w:val="001D5B78"/>
    <w:rsid w:val="001E313C"/>
    <w:rsid w:val="001E4073"/>
    <w:rsid w:val="001F1739"/>
    <w:rsid w:val="00201AE1"/>
    <w:rsid w:val="002021EF"/>
    <w:rsid w:val="002104E3"/>
    <w:rsid w:val="002138EE"/>
    <w:rsid w:val="002262B1"/>
    <w:rsid w:val="002311B8"/>
    <w:rsid w:val="002441D3"/>
    <w:rsid w:val="00244D36"/>
    <w:rsid w:val="00246B96"/>
    <w:rsid w:val="00252CBD"/>
    <w:rsid w:val="00254EFA"/>
    <w:rsid w:val="002610B2"/>
    <w:rsid w:val="00264B3F"/>
    <w:rsid w:val="00267211"/>
    <w:rsid w:val="00276B38"/>
    <w:rsid w:val="00282779"/>
    <w:rsid w:val="00282AF5"/>
    <w:rsid w:val="002879B5"/>
    <w:rsid w:val="00294D3D"/>
    <w:rsid w:val="0029572C"/>
    <w:rsid w:val="002A26BE"/>
    <w:rsid w:val="002A594E"/>
    <w:rsid w:val="002B2DF9"/>
    <w:rsid w:val="002B51F2"/>
    <w:rsid w:val="002B68F2"/>
    <w:rsid w:val="002C3CD1"/>
    <w:rsid w:val="002E051C"/>
    <w:rsid w:val="002E0EFF"/>
    <w:rsid w:val="002E11D1"/>
    <w:rsid w:val="002F051E"/>
    <w:rsid w:val="00300641"/>
    <w:rsid w:val="0030315B"/>
    <w:rsid w:val="00305245"/>
    <w:rsid w:val="003072C9"/>
    <w:rsid w:val="00310D06"/>
    <w:rsid w:val="00313785"/>
    <w:rsid w:val="00320460"/>
    <w:rsid w:val="0032259A"/>
    <w:rsid w:val="00324C1F"/>
    <w:rsid w:val="00341702"/>
    <w:rsid w:val="00347539"/>
    <w:rsid w:val="0035618A"/>
    <w:rsid w:val="00361890"/>
    <w:rsid w:val="00365FC3"/>
    <w:rsid w:val="00373EBB"/>
    <w:rsid w:val="00374A7F"/>
    <w:rsid w:val="003821C5"/>
    <w:rsid w:val="00385D06"/>
    <w:rsid w:val="00393506"/>
    <w:rsid w:val="003A0025"/>
    <w:rsid w:val="003B2057"/>
    <w:rsid w:val="003B3117"/>
    <w:rsid w:val="003C63C9"/>
    <w:rsid w:val="003D6540"/>
    <w:rsid w:val="003E4DFB"/>
    <w:rsid w:val="003F1343"/>
    <w:rsid w:val="003F770C"/>
    <w:rsid w:val="00403584"/>
    <w:rsid w:val="00404FCA"/>
    <w:rsid w:val="004072F4"/>
    <w:rsid w:val="00407307"/>
    <w:rsid w:val="00413A81"/>
    <w:rsid w:val="00426503"/>
    <w:rsid w:val="004271E1"/>
    <w:rsid w:val="00431F63"/>
    <w:rsid w:val="00436083"/>
    <w:rsid w:val="00436559"/>
    <w:rsid w:val="004449ED"/>
    <w:rsid w:val="00444F76"/>
    <w:rsid w:val="00453FA1"/>
    <w:rsid w:val="004561FA"/>
    <w:rsid w:val="00457BCC"/>
    <w:rsid w:val="004659EF"/>
    <w:rsid w:val="0046635E"/>
    <w:rsid w:val="004675EA"/>
    <w:rsid w:val="00490512"/>
    <w:rsid w:val="0049298C"/>
    <w:rsid w:val="00493CD8"/>
    <w:rsid w:val="004A1624"/>
    <w:rsid w:val="004A510C"/>
    <w:rsid w:val="004A68AD"/>
    <w:rsid w:val="004B43AA"/>
    <w:rsid w:val="004B6314"/>
    <w:rsid w:val="004C4694"/>
    <w:rsid w:val="004C476D"/>
    <w:rsid w:val="004D19FB"/>
    <w:rsid w:val="004D7DCC"/>
    <w:rsid w:val="004E12AC"/>
    <w:rsid w:val="004F7E14"/>
    <w:rsid w:val="00504296"/>
    <w:rsid w:val="00513895"/>
    <w:rsid w:val="0051390D"/>
    <w:rsid w:val="00514BD3"/>
    <w:rsid w:val="00517531"/>
    <w:rsid w:val="00527DB4"/>
    <w:rsid w:val="00530211"/>
    <w:rsid w:val="0054299C"/>
    <w:rsid w:val="00552B54"/>
    <w:rsid w:val="00552BC9"/>
    <w:rsid w:val="0055450D"/>
    <w:rsid w:val="0055662D"/>
    <w:rsid w:val="00561C66"/>
    <w:rsid w:val="00563F33"/>
    <w:rsid w:val="0057054B"/>
    <w:rsid w:val="0057073B"/>
    <w:rsid w:val="005723FE"/>
    <w:rsid w:val="00575567"/>
    <w:rsid w:val="0058099C"/>
    <w:rsid w:val="00580E4B"/>
    <w:rsid w:val="00593226"/>
    <w:rsid w:val="00593CB4"/>
    <w:rsid w:val="00594712"/>
    <w:rsid w:val="00594D75"/>
    <w:rsid w:val="0059653B"/>
    <w:rsid w:val="005B1524"/>
    <w:rsid w:val="005B5D8F"/>
    <w:rsid w:val="005B6F88"/>
    <w:rsid w:val="005F2894"/>
    <w:rsid w:val="00612B80"/>
    <w:rsid w:val="006157F5"/>
    <w:rsid w:val="0062065E"/>
    <w:rsid w:val="0062602B"/>
    <w:rsid w:val="006314DC"/>
    <w:rsid w:val="00632DDF"/>
    <w:rsid w:val="00633BF5"/>
    <w:rsid w:val="00642D34"/>
    <w:rsid w:val="00643635"/>
    <w:rsid w:val="006436A9"/>
    <w:rsid w:val="00652105"/>
    <w:rsid w:val="00666D2F"/>
    <w:rsid w:val="006676CB"/>
    <w:rsid w:val="0067350D"/>
    <w:rsid w:val="006750D7"/>
    <w:rsid w:val="00677EAD"/>
    <w:rsid w:val="00680E61"/>
    <w:rsid w:val="00684B0F"/>
    <w:rsid w:val="006A051A"/>
    <w:rsid w:val="006A4421"/>
    <w:rsid w:val="006B0809"/>
    <w:rsid w:val="006B603A"/>
    <w:rsid w:val="006C2B36"/>
    <w:rsid w:val="006D221E"/>
    <w:rsid w:val="006D2620"/>
    <w:rsid w:val="006D49B3"/>
    <w:rsid w:val="006D5218"/>
    <w:rsid w:val="006E2527"/>
    <w:rsid w:val="006F0DBF"/>
    <w:rsid w:val="00702A6A"/>
    <w:rsid w:val="0070597D"/>
    <w:rsid w:val="00712E53"/>
    <w:rsid w:val="00713B5F"/>
    <w:rsid w:val="00724070"/>
    <w:rsid w:val="00725EFC"/>
    <w:rsid w:val="00735C05"/>
    <w:rsid w:val="00737AEF"/>
    <w:rsid w:val="00752682"/>
    <w:rsid w:val="00755A0B"/>
    <w:rsid w:val="007618F5"/>
    <w:rsid w:val="007648A1"/>
    <w:rsid w:val="00772279"/>
    <w:rsid w:val="00775D0B"/>
    <w:rsid w:val="00781C63"/>
    <w:rsid w:val="0079046B"/>
    <w:rsid w:val="0079392D"/>
    <w:rsid w:val="007A1247"/>
    <w:rsid w:val="007B5E13"/>
    <w:rsid w:val="007C061F"/>
    <w:rsid w:val="007C2423"/>
    <w:rsid w:val="007C3CE1"/>
    <w:rsid w:val="007E5532"/>
    <w:rsid w:val="007F08E2"/>
    <w:rsid w:val="007F5A0E"/>
    <w:rsid w:val="00814289"/>
    <w:rsid w:val="00826907"/>
    <w:rsid w:val="0082738F"/>
    <w:rsid w:val="00831876"/>
    <w:rsid w:val="0083461B"/>
    <w:rsid w:val="00836563"/>
    <w:rsid w:val="0084167D"/>
    <w:rsid w:val="008425CF"/>
    <w:rsid w:val="00843BDD"/>
    <w:rsid w:val="00847133"/>
    <w:rsid w:val="00862655"/>
    <w:rsid w:val="00881553"/>
    <w:rsid w:val="00883A91"/>
    <w:rsid w:val="00885991"/>
    <w:rsid w:val="00887B51"/>
    <w:rsid w:val="008A2AA5"/>
    <w:rsid w:val="008C3B4A"/>
    <w:rsid w:val="008C4431"/>
    <w:rsid w:val="008C6067"/>
    <w:rsid w:val="008C739D"/>
    <w:rsid w:val="008C7F02"/>
    <w:rsid w:val="008F072B"/>
    <w:rsid w:val="00906207"/>
    <w:rsid w:val="00912200"/>
    <w:rsid w:val="00915160"/>
    <w:rsid w:val="0091612F"/>
    <w:rsid w:val="00917059"/>
    <w:rsid w:val="00917B70"/>
    <w:rsid w:val="009276E3"/>
    <w:rsid w:val="009351D8"/>
    <w:rsid w:val="0093691A"/>
    <w:rsid w:val="00942876"/>
    <w:rsid w:val="009500A6"/>
    <w:rsid w:val="00965A1C"/>
    <w:rsid w:val="00967185"/>
    <w:rsid w:val="00984056"/>
    <w:rsid w:val="0099132A"/>
    <w:rsid w:val="009974A2"/>
    <w:rsid w:val="009A19AC"/>
    <w:rsid w:val="009B28C3"/>
    <w:rsid w:val="009B5E4B"/>
    <w:rsid w:val="009C5536"/>
    <w:rsid w:val="009C7BBB"/>
    <w:rsid w:val="009D5B3A"/>
    <w:rsid w:val="009E49B9"/>
    <w:rsid w:val="009E5A47"/>
    <w:rsid w:val="009F4C58"/>
    <w:rsid w:val="00A060B9"/>
    <w:rsid w:val="00A11894"/>
    <w:rsid w:val="00A22102"/>
    <w:rsid w:val="00A329F3"/>
    <w:rsid w:val="00A3561C"/>
    <w:rsid w:val="00A611EE"/>
    <w:rsid w:val="00A65C00"/>
    <w:rsid w:val="00A754F6"/>
    <w:rsid w:val="00A76B05"/>
    <w:rsid w:val="00A919C6"/>
    <w:rsid w:val="00AB10DB"/>
    <w:rsid w:val="00AB3DF3"/>
    <w:rsid w:val="00AD0124"/>
    <w:rsid w:val="00AE6819"/>
    <w:rsid w:val="00AF2ECD"/>
    <w:rsid w:val="00B14602"/>
    <w:rsid w:val="00B23475"/>
    <w:rsid w:val="00B26AAA"/>
    <w:rsid w:val="00B333DF"/>
    <w:rsid w:val="00B36014"/>
    <w:rsid w:val="00B534A2"/>
    <w:rsid w:val="00B638FA"/>
    <w:rsid w:val="00B66DE5"/>
    <w:rsid w:val="00B71F00"/>
    <w:rsid w:val="00B731ED"/>
    <w:rsid w:val="00B7565B"/>
    <w:rsid w:val="00B80028"/>
    <w:rsid w:val="00B80113"/>
    <w:rsid w:val="00B840BD"/>
    <w:rsid w:val="00BA7261"/>
    <w:rsid w:val="00BB5511"/>
    <w:rsid w:val="00BD1134"/>
    <w:rsid w:val="00BF3DC2"/>
    <w:rsid w:val="00BF45DC"/>
    <w:rsid w:val="00BF46D1"/>
    <w:rsid w:val="00BF7C75"/>
    <w:rsid w:val="00C106A5"/>
    <w:rsid w:val="00C121A4"/>
    <w:rsid w:val="00C12BF7"/>
    <w:rsid w:val="00C151DA"/>
    <w:rsid w:val="00C416B3"/>
    <w:rsid w:val="00C71590"/>
    <w:rsid w:val="00C73EBA"/>
    <w:rsid w:val="00C85FE8"/>
    <w:rsid w:val="00C927AE"/>
    <w:rsid w:val="00C950E2"/>
    <w:rsid w:val="00CA24D6"/>
    <w:rsid w:val="00CA7B06"/>
    <w:rsid w:val="00CB36C4"/>
    <w:rsid w:val="00CB7FE0"/>
    <w:rsid w:val="00CC3F50"/>
    <w:rsid w:val="00CC4A96"/>
    <w:rsid w:val="00CC73A1"/>
    <w:rsid w:val="00CC7E16"/>
    <w:rsid w:val="00CD5222"/>
    <w:rsid w:val="00CE0BB8"/>
    <w:rsid w:val="00CE1FB9"/>
    <w:rsid w:val="00CE2C16"/>
    <w:rsid w:val="00CE3B0D"/>
    <w:rsid w:val="00CF0EF1"/>
    <w:rsid w:val="00CF5401"/>
    <w:rsid w:val="00CF7409"/>
    <w:rsid w:val="00D1569D"/>
    <w:rsid w:val="00D174C6"/>
    <w:rsid w:val="00D24FF0"/>
    <w:rsid w:val="00D27246"/>
    <w:rsid w:val="00D311EC"/>
    <w:rsid w:val="00D32B57"/>
    <w:rsid w:val="00D41BB6"/>
    <w:rsid w:val="00D420A6"/>
    <w:rsid w:val="00D47A47"/>
    <w:rsid w:val="00D522EC"/>
    <w:rsid w:val="00D60CB7"/>
    <w:rsid w:val="00D6340C"/>
    <w:rsid w:val="00D82F36"/>
    <w:rsid w:val="00D9021F"/>
    <w:rsid w:val="00D9109E"/>
    <w:rsid w:val="00D93024"/>
    <w:rsid w:val="00D9551C"/>
    <w:rsid w:val="00D97C63"/>
    <w:rsid w:val="00DB3F6C"/>
    <w:rsid w:val="00DB5146"/>
    <w:rsid w:val="00DB6B88"/>
    <w:rsid w:val="00DC065C"/>
    <w:rsid w:val="00DD055C"/>
    <w:rsid w:val="00DE767A"/>
    <w:rsid w:val="00DF19DC"/>
    <w:rsid w:val="00E053A2"/>
    <w:rsid w:val="00E05715"/>
    <w:rsid w:val="00E11C93"/>
    <w:rsid w:val="00E15234"/>
    <w:rsid w:val="00E27ECF"/>
    <w:rsid w:val="00E33823"/>
    <w:rsid w:val="00E36453"/>
    <w:rsid w:val="00E47360"/>
    <w:rsid w:val="00E54940"/>
    <w:rsid w:val="00E56389"/>
    <w:rsid w:val="00E56CBF"/>
    <w:rsid w:val="00E6454F"/>
    <w:rsid w:val="00E64BDA"/>
    <w:rsid w:val="00E66862"/>
    <w:rsid w:val="00E70552"/>
    <w:rsid w:val="00E7149F"/>
    <w:rsid w:val="00E741B7"/>
    <w:rsid w:val="00E774AE"/>
    <w:rsid w:val="00E93B49"/>
    <w:rsid w:val="00EC403A"/>
    <w:rsid w:val="00ED12BC"/>
    <w:rsid w:val="00ED3091"/>
    <w:rsid w:val="00EF0259"/>
    <w:rsid w:val="00EF12BA"/>
    <w:rsid w:val="00EF40A0"/>
    <w:rsid w:val="00EF57AB"/>
    <w:rsid w:val="00EF595E"/>
    <w:rsid w:val="00F05C9D"/>
    <w:rsid w:val="00F21F15"/>
    <w:rsid w:val="00F23F68"/>
    <w:rsid w:val="00F244BD"/>
    <w:rsid w:val="00F27C22"/>
    <w:rsid w:val="00F462A7"/>
    <w:rsid w:val="00F508E0"/>
    <w:rsid w:val="00F61146"/>
    <w:rsid w:val="00F61695"/>
    <w:rsid w:val="00F6404D"/>
    <w:rsid w:val="00F64D01"/>
    <w:rsid w:val="00F70FEA"/>
    <w:rsid w:val="00F74E58"/>
    <w:rsid w:val="00F80B5E"/>
    <w:rsid w:val="00F9177E"/>
    <w:rsid w:val="00F95E71"/>
    <w:rsid w:val="00FA1F26"/>
    <w:rsid w:val="00FA5454"/>
    <w:rsid w:val="00FB0D82"/>
    <w:rsid w:val="00FB7C20"/>
    <w:rsid w:val="00FD27E6"/>
    <w:rsid w:val="00FD5A9C"/>
    <w:rsid w:val="00FE0AC7"/>
    <w:rsid w:val="00FE7A62"/>
    <w:rsid w:val="00FF1A20"/>
    <w:rsid w:val="00FF44AE"/>
    <w:rsid w:val="00FF54F7"/>
    <w:rsid w:val="01396E1E"/>
    <w:rsid w:val="015C4382"/>
    <w:rsid w:val="026C3CC1"/>
    <w:rsid w:val="04F77B58"/>
    <w:rsid w:val="059E7B97"/>
    <w:rsid w:val="085F196E"/>
    <w:rsid w:val="097C2B89"/>
    <w:rsid w:val="09B71227"/>
    <w:rsid w:val="11CB522D"/>
    <w:rsid w:val="1466786F"/>
    <w:rsid w:val="154D47EE"/>
    <w:rsid w:val="155901F1"/>
    <w:rsid w:val="15916DD0"/>
    <w:rsid w:val="178070FD"/>
    <w:rsid w:val="1844637C"/>
    <w:rsid w:val="18534811"/>
    <w:rsid w:val="1A2C531A"/>
    <w:rsid w:val="1BE7599C"/>
    <w:rsid w:val="1C1A7BFE"/>
    <w:rsid w:val="1C1C2E37"/>
    <w:rsid w:val="1D6F5C49"/>
    <w:rsid w:val="1E1E141D"/>
    <w:rsid w:val="1E472722"/>
    <w:rsid w:val="1E8219AC"/>
    <w:rsid w:val="1F2A03EB"/>
    <w:rsid w:val="1F464788"/>
    <w:rsid w:val="22BC263E"/>
    <w:rsid w:val="239D2DE4"/>
    <w:rsid w:val="24F904EE"/>
    <w:rsid w:val="24FA6740"/>
    <w:rsid w:val="25B54415"/>
    <w:rsid w:val="267E6EFD"/>
    <w:rsid w:val="27675BE3"/>
    <w:rsid w:val="27DA3386"/>
    <w:rsid w:val="28F72F97"/>
    <w:rsid w:val="2AAB5B7C"/>
    <w:rsid w:val="2AAF1D7B"/>
    <w:rsid w:val="2C363DD6"/>
    <w:rsid w:val="2C4468DD"/>
    <w:rsid w:val="2F994DA8"/>
    <w:rsid w:val="304271ED"/>
    <w:rsid w:val="31C4105A"/>
    <w:rsid w:val="33185FE3"/>
    <w:rsid w:val="33ED6D95"/>
    <w:rsid w:val="33F702EF"/>
    <w:rsid w:val="35357321"/>
    <w:rsid w:val="3ACD6C2A"/>
    <w:rsid w:val="3AEF3ACE"/>
    <w:rsid w:val="3CA63395"/>
    <w:rsid w:val="3D0870C9"/>
    <w:rsid w:val="3DB80AEF"/>
    <w:rsid w:val="3E350391"/>
    <w:rsid w:val="3E8D1F7B"/>
    <w:rsid w:val="3F11495A"/>
    <w:rsid w:val="3F165ACD"/>
    <w:rsid w:val="3F1E7077"/>
    <w:rsid w:val="40316936"/>
    <w:rsid w:val="408D0011"/>
    <w:rsid w:val="40CB6D8B"/>
    <w:rsid w:val="41A73354"/>
    <w:rsid w:val="44113A10"/>
    <w:rsid w:val="458F0387"/>
    <w:rsid w:val="461807D7"/>
    <w:rsid w:val="464A0752"/>
    <w:rsid w:val="47AA594C"/>
    <w:rsid w:val="48287F2D"/>
    <w:rsid w:val="48D9333D"/>
    <w:rsid w:val="4961028C"/>
    <w:rsid w:val="4A0A0924"/>
    <w:rsid w:val="4BED22AB"/>
    <w:rsid w:val="4C856040"/>
    <w:rsid w:val="4D7D31BB"/>
    <w:rsid w:val="4E1C6E78"/>
    <w:rsid w:val="4F4C72E9"/>
    <w:rsid w:val="4F7D74A2"/>
    <w:rsid w:val="531445C2"/>
    <w:rsid w:val="55A718AE"/>
    <w:rsid w:val="55CC1183"/>
    <w:rsid w:val="563F1955"/>
    <w:rsid w:val="571928FF"/>
    <w:rsid w:val="575256B8"/>
    <w:rsid w:val="578233B9"/>
    <w:rsid w:val="586C511D"/>
    <w:rsid w:val="5952374E"/>
    <w:rsid w:val="5A07278A"/>
    <w:rsid w:val="5AD40906"/>
    <w:rsid w:val="5AD84127"/>
    <w:rsid w:val="5B795E92"/>
    <w:rsid w:val="5BEE0351"/>
    <w:rsid w:val="5CD526CC"/>
    <w:rsid w:val="5CE16E2F"/>
    <w:rsid w:val="5CFA65D6"/>
    <w:rsid w:val="5E532442"/>
    <w:rsid w:val="5F3D27AA"/>
    <w:rsid w:val="5FBB3BA5"/>
    <w:rsid w:val="63097573"/>
    <w:rsid w:val="63F07540"/>
    <w:rsid w:val="669A48EB"/>
    <w:rsid w:val="669C425A"/>
    <w:rsid w:val="68BE2BAE"/>
    <w:rsid w:val="69C441F4"/>
    <w:rsid w:val="69D63F27"/>
    <w:rsid w:val="6DB63E53"/>
    <w:rsid w:val="6EB1286D"/>
    <w:rsid w:val="6EF575BD"/>
    <w:rsid w:val="71D13F21"/>
    <w:rsid w:val="728E539F"/>
    <w:rsid w:val="756E1C38"/>
    <w:rsid w:val="7A0D129F"/>
    <w:rsid w:val="7A4153ED"/>
    <w:rsid w:val="7C6D4277"/>
    <w:rsid w:val="7D2C5EE0"/>
    <w:rsid w:val="7EE805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B8CDB"/>
  <w15:docId w15:val="{CEB45ED0-C3FD-4B5A-810D-D90360176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F1343"/>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numPr>
        <w:numId w:val="1"/>
      </w:numPr>
      <w:spacing w:beforeLines="50" w:before="50" w:afterLines="50" w:after="50" w:line="360" w:lineRule="auto"/>
      <w:outlineLvl w:val="0"/>
    </w:pPr>
    <w:rPr>
      <w:rFonts w:ascii="Times New Roman" w:eastAsia="楷体_GB2312" w:hAnsi="Times New Roman" w:cs="Times New Roman"/>
      <w:b/>
      <w:kern w:val="44"/>
      <w:sz w:val="44"/>
      <w:szCs w:val="21"/>
    </w:rPr>
  </w:style>
  <w:style w:type="paragraph" w:styleId="2">
    <w:name w:val="heading 2"/>
    <w:basedOn w:val="a"/>
    <w:next w:val="a"/>
    <w:link w:val="20"/>
    <w:qFormat/>
    <w:pPr>
      <w:keepNext/>
      <w:keepLines/>
      <w:numPr>
        <w:ilvl w:val="1"/>
        <w:numId w:val="1"/>
      </w:numPr>
      <w:tabs>
        <w:tab w:val="left" w:pos="454"/>
      </w:tabs>
      <w:spacing w:beforeLines="50" w:before="50" w:afterLines="50" w:after="50" w:line="360" w:lineRule="auto"/>
      <w:jc w:val="left"/>
      <w:outlineLvl w:val="1"/>
    </w:pPr>
    <w:rPr>
      <w:rFonts w:ascii="Times New Roman" w:eastAsia="楷体_GB2312" w:hAnsi="Times New Roman" w:cs="Times New Roman"/>
      <w:b/>
      <w:bCs/>
      <w:smallCaps/>
      <w:sz w:val="36"/>
      <w:szCs w:val="28"/>
    </w:rPr>
  </w:style>
  <w:style w:type="paragraph" w:styleId="3">
    <w:name w:val="heading 3"/>
    <w:basedOn w:val="a"/>
    <w:next w:val="a"/>
    <w:link w:val="30"/>
    <w:qFormat/>
    <w:pPr>
      <w:keepNext/>
      <w:keepLines/>
      <w:numPr>
        <w:ilvl w:val="2"/>
        <w:numId w:val="1"/>
      </w:numPr>
      <w:tabs>
        <w:tab w:val="left" w:pos="454"/>
      </w:tabs>
      <w:spacing w:beforeLines="50" w:before="50" w:afterLines="50" w:after="50" w:line="360" w:lineRule="auto"/>
      <w:outlineLvl w:val="2"/>
    </w:pPr>
    <w:rPr>
      <w:rFonts w:ascii="Times New Roman" w:eastAsia="华文楷体" w:hAnsi="Times New Roman" w:cs="Times New Roman"/>
      <w:b/>
      <w:bCs/>
      <w:sz w:val="32"/>
      <w:szCs w:val="21"/>
    </w:rPr>
  </w:style>
  <w:style w:type="paragraph" w:styleId="4">
    <w:name w:val="heading 4"/>
    <w:basedOn w:val="a"/>
    <w:next w:val="a"/>
    <w:link w:val="40"/>
    <w:qFormat/>
    <w:pPr>
      <w:numPr>
        <w:ilvl w:val="3"/>
        <w:numId w:val="1"/>
      </w:numPr>
      <w:tabs>
        <w:tab w:val="left" w:pos="454"/>
      </w:tabs>
      <w:adjustRightInd w:val="0"/>
      <w:spacing w:beforeLines="50" w:before="50" w:afterLines="50" w:after="50" w:line="360" w:lineRule="auto"/>
      <w:jc w:val="left"/>
      <w:textAlignment w:val="baseline"/>
      <w:outlineLvl w:val="3"/>
    </w:pPr>
    <w:rPr>
      <w:rFonts w:ascii="Times New Roman" w:eastAsia="宋体" w:hAnsi="Times New Roman" w:cs="Times New Roman"/>
      <w:b/>
      <w:bCs/>
      <w:smallCaps/>
      <w:sz w:val="2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caption"/>
    <w:basedOn w:val="a"/>
    <w:next w:val="a"/>
    <w:uiPriority w:val="35"/>
    <w:semiHidden/>
    <w:unhideWhenUsed/>
    <w:qFormat/>
    <w:rPr>
      <w:rFonts w:asciiTheme="majorHAnsi" w:eastAsia="黑体" w:hAnsiTheme="majorHAnsi" w:cstheme="majorBidi"/>
      <w:sz w:val="20"/>
      <w:szCs w:val="20"/>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Pr>
      <w:b/>
      <w:bCs/>
    </w:rPr>
  </w:style>
  <w:style w:type="table" w:styleId="af">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1"/>
    <w:uiPriority w:val="22"/>
    <w:qFormat/>
    <w:rPr>
      <w:b/>
    </w:rPr>
  </w:style>
  <w:style w:type="character" w:styleId="af1">
    <w:name w:val="Hyperlink"/>
    <w:basedOn w:val="a1"/>
    <w:uiPriority w:val="99"/>
    <w:semiHidden/>
    <w:unhideWhenUsed/>
    <w:qFormat/>
    <w:rPr>
      <w:color w:val="0000FF"/>
      <w:u w:val="single"/>
    </w:rPr>
  </w:style>
  <w:style w:type="character" w:styleId="af2">
    <w:name w:val="annotation reference"/>
    <w:basedOn w:val="a1"/>
    <w:uiPriority w:val="99"/>
    <w:semiHidden/>
    <w:unhideWhenUsed/>
    <w:qFormat/>
    <w:rPr>
      <w:sz w:val="21"/>
      <w:szCs w:val="21"/>
    </w:rPr>
  </w:style>
  <w:style w:type="paragraph" w:customStyle="1" w:styleId="A-z">
    <w:name w:val="A-z正文"/>
    <w:basedOn w:val="a"/>
    <w:link w:val="A-zChar"/>
    <w:qFormat/>
    <w:pPr>
      <w:spacing w:line="360" w:lineRule="auto"/>
      <w:ind w:firstLineChars="200" w:firstLine="200"/>
    </w:pPr>
    <w:rPr>
      <w:rFonts w:ascii="Times New Roman" w:eastAsia="宋体" w:hAnsi="Times New Roman" w:cs="宋体"/>
      <w:sz w:val="24"/>
      <w:szCs w:val="20"/>
    </w:rPr>
  </w:style>
  <w:style w:type="character" w:customStyle="1" w:styleId="A-zChar">
    <w:name w:val="A-z正文 Char"/>
    <w:basedOn w:val="a1"/>
    <w:link w:val="A-z"/>
    <w:qFormat/>
    <w:rPr>
      <w:rFonts w:ascii="Times New Roman" w:eastAsia="宋体" w:hAnsi="Times New Roman" w:cs="宋体"/>
      <w:sz w:val="24"/>
      <w:szCs w:val="20"/>
    </w:rPr>
  </w:style>
  <w:style w:type="table" w:customStyle="1" w:styleId="A-">
    <w:name w:val="A-表格属性"/>
    <w:basedOn w:val="a2"/>
    <w:uiPriority w:val="99"/>
    <w:qFormat/>
    <w:pPr>
      <w:jc w:val="center"/>
    </w:p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tblHeader/>
    </w:trPr>
    <w:tcPr>
      <w:vAlign w:val="center"/>
    </w:tcPr>
  </w:style>
  <w:style w:type="paragraph" w:customStyle="1" w:styleId="A-0">
    <w:name w:val="A-表格文字"/>
    <w:basedOn w:val="a"/>
    <w:next w:val="A-z"/>
    <w:link w:val="A-Char"/>
    <w:qFormat/>
    <w:pPr>
      <w:autoSpaceDE w:val="0"/>
      <w:autoSpaceDN w:val="0"/>
      <w:adjustRightInd w:val="0"/>
      <w:jc w:val="center"/>
      <w:textAlignment w:val="center"/>
    </w:pPr>
    <w:rPr>
      <w:rFonts w:ascii="Times New Roman" w:eastAsia="宋体" w:hAnsi="Times New Roman" w:cs="Times New Roman"/>
      <w:kern w:val="0"/>
      <w:szCs w:val="21"/>
    </w:rPr>
  </w:style>
  <w:style w:type="character" w:customStyle="1" w:styleId="A-Char">
    <w:name w:val="A-表格文字 Char"/>
    <w:basedOn w:val="a1"/>
    <w:link w:val="A-0"/>
    <w:qFormat/>
    <w:rPr>
      <w:rFonts w:ascii="Times New Roman" w:eastAsia="宋体" w:hAnsi="Times New Roman" w:cs="Times New Roman"/>
      <w:kern w:val="0"/>
      <w:szCs w:val="21"/>
    </w:rPr>
  </w:style>
  <w:style w:type="paragraph" w:customStyle="1" w:styleId="A--">
    <w:name w:val="A-题注-表"/>
    <w:basedOn w:val="a4"/>
    <w:link w:val="A--Char"/>
    <w:qFormat/>
    <w:pPr>
      <w:spacing w:beforeLines="50" w:before="50" w:line="360" w:lineRule="auto"/>
      <w:jc w:val="center"/>
    </w:pPr>
    <w:rPr>
      <w:rFonts w:ascii="Times New Roman" w:eastAsia="宋体" w:hAnsi="Times New Roman" w:cs="Arial"/>
      <w:b/>
      <w:sz w:val="21"/>
    </w:rPr>
  </w:style>
  <w:style w:type="character" w:customStyle="1" w:styleId="A--Char">
    <w:name w:val="A-题注-表 Char"/>
    <w:basedOn w:val="a1"/>
    <w:link w:val="A--"/>
    <w:qFormat/>
    <w:rPr>
      <w:rFonts w:ascii="Times New Roman" w:eastAsia="宋体" w:hAnsi="Times New Roman" w:cs="Arial"/>
      <w:b/>
      <w:szCs w:val="20"/>
    </w:rPr>
  </w:style>
  <w:style w:type="paragraph" w:customStyle="1" w:styleId="A--0">
    <w:name w:val="A-题注-图"/>
    <w:basedOn w:val="A--"/>
    <w:link w:val="A--Char0"/>
    <w:qFormat/>
    <w:pPr>
      <w:spacing w:beforeLines="0" w:before="0" w:afterLines="50" w:after="50"/>
    </w:pPr>
  </w:style>
  <w:style w:type="character" w:customStyle="1" w:styleId="A--Char0">
    <w:name w:val="A-题注-图 Char"/>
    <w:basedOn w:val="A--Char"/>
    <w:link w:val="A--0"/>
    <w:qFormat/>
    <w:rPr>
      <w:rFonts w:ascii="Times New Roman" w:eastAsia="宋体" w:hAnsi="Times New Roman" w:cs="Arial"/>
      <w:b/>
      <w:szCs w:val="20"/>
    </w:rPr>
  </w:style>
  <w:style w:type="paragraph" w:customStyle="1" w:styleId="A-1">
    <w:name w:val="A-尾注"/>
    <w:basedOn w:val="A-z"/>
    <w:link w:val="A-Char0"/>
    <w:qFormat/>
    <w:pPr>
      <w:spacing w:line="240" w:lineRule="auto"/>
      <w:ind w:firstLineChars="0" w:firstLine="0"/>
      <w:jc w:val="left"/>
    </w:pPr>
    <w:rPr>
      <w:rFonts w:cs="Times New Roman"/>
      <w:sz w:val="18"/>
    </w:rPr>
  </w:style>
  <w:style w:type="character" w:customStyle="1" w:styleId="A-Char0">
    <w:name w:val="A-尾注 Char"/>
    <w:basedOn w:val="A-zChar"/>
    <w:link w:val="A-1"/>
    <w:qFormat/>
    <w:rPr>
      <w:rFonts w:ascii="Times New Roman" w:eastAsia="宋体" w:hAnsi="Times New Roman" w:cs="Times New Roman"/>
      <w:sz w:val="18"/>
      <w:szCs w:val="20"/>
    </w:rPr>
  </w:style>
  <w:style w:type="paragraph" w:customStyle="1" w:styleId="A-2">
    <w:name w:val="A-问题已解决"/>
    <w:basedOn w:val="a"/>
    <w:qFormat/>
    <w:pPr>
      <w:spacing w:line="360" w:lineRule="auto"/>
      <w:ind w:firstLineChars="200" w:firstLine="444"/>
    </w:pPr>
    <w:rPr>
      <w:rFonts w:ascii="宋体" w:eastAsia="宋体" w:hAnsi="Times New Roman" w:cs="宋体"/>
      <w:strike/>
      <w:szCs w:val="21"/>
    </w:rPr>
  </w:style>
  <w:style w:type="paragraph" w:customStyle="1" w:styleId="A-3">
    <w:name w:val="A-页脚"/>
    <w:basedOn w:val="a9"/>
    <w:link w:val="A-Char1"/>
    <w:qFormat/>
    <w:pPr>
      <w:ind w:firstLine="480"/>
    </w:pPr>
    <w:rPr>
      <w:rFonts w:ascii="Times New Roman" w:eastAsia="宋体" w:hAnsi="Times New Roman" w:cs="Times New Roman"/>
    </w:rPr>
  </w:style>
  <w:style w:type="character" w:customStyle="1" w:styleId="A-Char1">
    <w:name w:val="A-页脚 Char"/>
    <w:basedOn w:val="a1"/>
    <w:link w:val="A-3"/>
    <w:qFormat/>
    <w:rPr>
      <w:rFonts w:ascii="Times New Roman" w:eastAsia="宋体" w:hAnsi="Times New Roman" w:cs="Times New Roman"/>
      <w:sz w:val="18"/>
      <w:szCs w:val="18"/>
    </w:rPr>
  </w:style>
  <w:style w:type="character" w:customStyle="1" w:styleId="aa">
    <w:name w:val="页脚 字符"/>
    <w:basedOn w:val="a1"/>
    <w:link w:val="a9"/>
    <w:uiPriority w:val="99"/>
    <w:qFormat/>
    <w:rPr>
      <w:sz w:val="18"/>
      <w:szCs w:val="18"/>
    </w:rPr>
  </w:style>
  <w:style w:type="paragraph" w:customStyle="1" w:styleId="A-4">
    <w:name w:val="A-页眉"/>
    <w:basedOn w:val="ab"/>
    <w:link w:val="A-Char2"/>
    <w:qFormat/>
    <w:pPr>
      <w:ind w:firstLine="480"/>
    </w:pPr>
    <w:rPr>
      <w:rFonts w:ascii="Times New Roman" w:eastAsia="宋体" w:hAnsi="Times New Roman" w:cs="Times New Roman"/>
      <w:lang w:val="zh-CN"/>
    </w:rPr>
  </w:style>
  <w:style w:type="character" w:customStyle="1" w:styleId="A-Char2">
    <w:name w:val="A-页眉 Char"/>
    <w:basedOn w:val="a1"/>
    <w:link w:val="A-4"/>
    <w:qFormat/>
    <w:rPr>
      <w:rFonts w:ascii="Times New Roman" w:eastAsia="宋体" w:hAnsi="Times New Roman" w:cs="Times New Roman"/>
      <w:sz w:val="18"/>
      <w:szCs w:val="18"/>
      <w:lang w:val="zh-CN"/>
    </w:rPr>
  </w:style>
  <w:style w:type="character" w:customStyle="1" w:styleId="ac">
    <w:name w:val="页眉 字符"/>
    <w:basedOn w:val="a1"/>
    <w:link w:val="ab"/>
    <w:uiPriority w:val="99"/>
    <w:qFormat/>
    <w:rPr>
      <w:sz w:val="18"/>
      <w:szCs w:val="18"/>
    </w:rPr>
  </w:style>
  <w:style w:type="character" w:customStyle="1" w:styleId="10">
    <w:name w:val="标题 1 字符"/>
    <w:basedOn w:val="a1"/>
    <w:link w:val="1"/>
    <w:qFormat/>
    <w:rPr>
      <w:rFonts w:ascii="Times New Roman" w:eastAsia="楷体_GB2312" w:hAnsi="Times New Roman" w:cs="Times New Roman"/>
      <w:b/>
      <w:kern w:val="44"/>
      <w:sz w:val="44"/>
      <w:szCs w:val="21"/>
    </w:rPr>
  </w:style>
  <w:style w:type="character" w:customStyle="1" w:styleId="20">
    <w:name w:val="标题 2 字符"/>
    <w:basedOn w:val="a1"/>
    <w:link w:val="2"/>
    <w:qFormat/>
    <w:rPr>
      <w:rFonts w:ascii="Times New Roman" w:eastAsia="楷体_GB2312" w:hAnsi="Times New Roman" w:cs="Times New Roman"/>
      <w:b/>
      <w:bCs/>
      <w:smallCaps/>
      <w:sz w:val="36"/>
      <w:szCs w:val="28"/>
    </w:rPr>
  </w:style>
  <w:style w:type="character" w:customStyle="1" w:styleId="30">
    <w:name w:val="标题 3 字符"/>
    <w:basedOn w:val="a1"/>
    <w:link w:val="3"/>
    <w:qFormat/>
    <w:rPr>
      <w:rFonts w:ascii="Times New Roman" w:eastAsia="华文楷体" w:hAnsi="Times New Roman" w:cs="Times New Roman"/>
      <w:b/>
      <w:bCs/>
      <w:sz w:val="32"/>
      <w:szCs w:val="21"/>
    </w:rPr>
  </w:style>
  <w:style w:type="character" w:customStyle="1" w:styleId="40">
    <w:name w:val="标题 4 字符"/>
    <w:basedOn w:val="a1"/>
    <w:link w:val="4"/>
    <w:qFormat/>
    <w:rPr>
      <w:rFonts w:ascii="Times New Roman" w:eastAsia="宋体" w:hAnsi="Times New Roman" w:cs="Times New Roman"/>
      <w:b/>
      <w:bCs/>
      <w:smallCaps/>
      <w:sz w:val="28"/>
      <w:szCs w:val="24"/>
    </w:rPr>
  </w:style>
  <w:style w:type="paragraph" w:styleId="af3">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character" w:customStyle="1" w:styleId="a6">
    <w:name w:val="批注文字 字符"/>
    <w:basedOn w:val="a1"/>
    <w:link w:val="a5"/>
    <w:uiPriority w:val="99"/>
    <w:qFormat/>
  </w:style>
  <w:style w:type="character" w:customStyle="1" w:styleId="ae">
    <w:name w:val="批注主题 字符"/>
    <w:basedOn w:val="a6"/>
    <w:link w:val="ad"/>
    <w:uiPriority w:val="99"/>
    <w:semiHidden/>
    <w:qFormat/>
    <w:rPr>
      <w:b/>
      <w:bCs/>
    </w:rPr>
  </w:style>
  <w:style w:type="character" w:customStyle="1" w:styleId="a8">
    <w:name w:val="批注框文本 字符"/>
    <w:basedOn w:val="a1"/>
    <w:link w:val="a7"/>
    <w:uiPriority w:val="99"/>
    <w:semiHidden/>
    <w:qFormat/>
    <w:rPr>
      <w:kern w:val="2"/>
      <w:sz w:val="18"/>
      <w:szCs w:val="18"/>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character" w:styleId="af4">
    <w:name w:val="Placeholder Text"/>
    <w:basedOn w:val="a1"/>
    <w:uiPriority w:val="99"/>
    <w:semiHidden/>
    <w:qFormat/>
    <w:rPr>
      <w:color w:val="808080"/>
    </w:rPr>
  </w:style>
  <w:style w:type="paragraph" w:customStyle="1" w:styleId="21">
    <w:name w:val="修订2"/>
    <w:hidden/>
    <w:uiPriority w:val="99"/>
    <w:unhideWhenUsed/>
    <w:qFormat/>
    <w:rPr>
      <w:rFonts w:asciiTheme="minorHAnsi" w:eastAsiaTheme="minorEastAsia" w:hAnsiTheme="minorHAnsi" w:cstheme="minorBidi"/>
      <w:kern w:val="2"/>
      <w:sz w:val="21"/>
      <w:szCs w:val="22"/>
    </w:rPr>
  </w:style>
  <w:style w:type="paragraph" w:customStyle="1" w:styleId="af5">
    <w:name w:val="标准文件_段"/>
    <w:uiPriority w:val="99"/>
    <w:qFormat/>
    <w:pPr>
      <w:widowControl w:val="0"/>
      <w:ind w:firstLineChars="200" w:firstLine="198"/>
      <w:jc w:val="both"/>
    </w:pPr>
    <w:rPr>
      <w:rFonts w:ascii="宋体" w:hAnsi="宋体" w:cs="宋体"/>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ed689fc5-9128-4583-a154-59e9931ba0d1</errorID>
      <errorWord>明</errorWord>
      <group>L1_Word</group>
      <groupName>字词问题</groupName>
      <ability>L2_Typo</ability>
      <abilityName>字词错误</abilityName>
      <candidateList>
        <item>明了</item>
      </candidateList>
      <explain/>
      <paraID>33328640</paraID>
      <start>109</start>
      <end>110</end>
      <status>unmodified</status>
      <modifiedWord/>
      <trackRevisions>false</trackRevisions>
    </reviewItem>
    <reviewItem>
      <errorID>5ed142a7-a2d5-4d95-9818-bddc72f6258f</errorID>
      <errorWord>“双碳”战略</errorWord>
      <group>L1_Word</group>
      <groupName>字词问题</groupName>
      <ability>L2_Typo</ability>
      <abilityName>字词错误</abilityName>
      <candidateList>
        <item>“双碳”目标</item>
      </candidateList>
      <explain/>
      <paraID>33328640</paraID>
      <start>183</start>
      <end>189</end>
      <status>unmodified</status>
      <modifiedWord/>
      <trackRevisions>false</trackRevisions>
    </reviewItem>
    <reviewItem>
      <errorID>caedab6a-25d3-4603-82c5-4142019d646b</errorID>
      <errorWord>《工业氧化亚氮排放控制水平分级》（征求意见稿）</errorWord>
      <group>L1_Knowledge</group>
      <groupName>知识性问题</groupName>
      <ability>L2_Knowledge</ability>
      <abilityName>其他知识</abilityName>
      <candidateList>
        <item>《工业氧化亚氮排放控制水平分级（征求意见稿）》</item>
      </candidateList>
      <explain>疑似政策文件、法律法规名称等书写不规范，请注意检查。</explain>
      <paraID>30E67DAD</paraID>
      <start>79</start>
      <end>102</end>
      <status>unmodified</status>
      <modifiedWord/>
      <trackRevisions>false</trackRevisions>
    </reviewItem>
    <reviewItem>
      <errorID>7944271b-d9a6-4d42-abfb-a01a0036ced1</errorID>
      <errorWord>“双碳”战略</errorWord>
      <group>L1_Word</group>
      <groupName>字词问题</groupName>
      <ability>L2_Typo</ability>
      <abilityName>字词错误</abilityName>
      <candidateList>
        <item>“双碳”目标</item>
      </candidateList>
      <explain/>
      <paraID>31C35ADA</paraID>
      <start>220</start>
      <end>226</end>
      <status>unmodified</status>
      <modifiedWord/>
      <trackRevisions>false</trackRevisions>
    </reviewItem>
    <reviewItem>
      <errorID>a9c36cd7-3260-4538-a703-c426fec731ad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E84CF9B</paraID>
      <start>121</start>
      <end>122</end>
      <status>unmodified</status>
      <modifiedWord/>
      <trackRevisions>false</trackRevisions>
    </reviewItem>
    <reviewItem>
      <errorID>c5857b4e-a835-4a01-a176-fa20e27dd24d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E84CF9B</paraID>
      <start>175</start>
      <end>176</end>
      <status>unmodified</status>
      <modifiedWord/>
      <trackRevisions>false</trackRevisions>
    </reviewItem>
    <reviewItem>
      <errorID>afbe0092-1e8f-46d1-bbb5-076776f852f2</errorID>
      <errorWord>等省份</errorWord>
      <group>L1_Knowledge</group>
      <groupName>知识性问题</groupName>
      <ability>L2_Location</ability>
      <abilityName>地名检查</abilityName>
      <candidateList>
        <item>等省（区）</item>
      </candidateList>
      <explain>注意行政区划中是否包含自治区、直辖市、特别行政区。</explain>
      <paraID> E84CF9B</paraID>
      <start>344</start>
      <end>347</end>
      <status>unmodified</status>
      <modifiedWord/>
      <trackRevisions>false</trackRevisions>
    </reviewItem>
    <reviewItem>
      <errorID>46beb367-1de6-4fc2-af83-c73335ee5b51</errorID>
      <errorWord>等省份</errorWord>
      <group>L1_Knowledge</group>
      <groupName>知识性问题</groupName>
      <ability>L2_Location</ability>
      <abilityName>地名检查</abilityName>
      <candidateList>
        <item>等省（区）</item>
      </candidateList>
      <explain>注意行政区划中是否包含自治区、直辖市、特别行政区。</explain>
      <paraID>611F5489</paraID>
      <start>357</start>
      <end>360</end>
      <status>unmodified</status>
      <modifiedWord/>
      <trackRevisions>false</trackRevisions>
    </reviewItem>
    <reviewItem>
      <errorID>10504088-a398-4d08-a057-c0755363b5e5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3A4BE58F</paraID>
      <start>82</start>
      <end>83</end>
      <status>unmodified</status>
      <modifiedWord/>
      <trackRevisions>false</trackRevisions>
    </reviewItem>
    <reviewItem>
      <errorID>466b155c-68e6-4269-9a99-e6b5be51cfe7</errorID>
      <errorWord>法律、法规</errorWord>
      <group>L1_Word</group>
      <groupName>字词问题</groupName>
      <ability>L2_Typo</ability>
      <abilityName>字词错误</abilityName>
      <candidateList>
        <item>法律法规</item>
      </candidateList>
      <explain/>
      <paraID>2CA4981B</paraID>
      <start>3</start>
      <end>8</end>
      <status>unmodified</status>
      <modifiedWord/>
      <trackRevisions>false</trackRevisions>
    </reviewItem>
    <reviewItem>
      <errorID>13e87f16-cc9c-4eb9-935a-02219524ff3d</errorID>
      <errorWord>法律、法规</errorWord>
      <group>L1_Word</group>
      <groupName>字词问题</groupName>
      <ability>L2_Typo</ability>
      <abilityName>字词错误</abilityName>
      <candidateList>
        <item>法律法规</item>
      </candidateList>
      <explain/>
      <paraID>416C16FB</paraID>
      <start>24</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32F5B173-5341-42C7-A60F-5154BBE4132F}">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14</Pages>
  <Words>1556</Words>
  <Characters>8871</Characters>
  <Application>Microsoft Office Word</Application>
  <DocSecurity>0</DocSecurity>
  <Lines>73</Lines>
  <Paragraphs>20</Paragraphs>
  <ScaleCrop>false</ScaleCrop>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岩</dc:creator>
  <cp:lastModifiedBy>zhenyu jia</cp:lastModifiedBy>
  <cp:revision>162</cp:revision>
  <cp:lastPrinted>2022-10-11T04:58:00Z</cp:lastPrinted>
  <dcterms:created xsi:type="dcterms:W3CDTF">2022-10-11T04:56:00Z</dcterms:created>
  <dcterms:modified xsi:type="dcterms:W3CDTF">2026-08-02T01:22:00Z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849F615C6857484BA923438DA8AF6738_13</vt:lpwstr>
  </property>
  <property fmtid="{D5CDD505-2E9C-101B-9397-08002B2CF9AE}" pid="4" name="KSOTemplateDocerSaveRecord">
    <vt:lpwstr>eyJoZGlkIjoiNTY5ODVkYzdhZWY0MDkxM2E3MTMyYzRmNDM1ZmU5MTAiLCJ1c2VySWQiOiIzMDYxMDE0NTkifQ==</vt:lpwstr>
  </property>
</Properties>
</file>